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sz w:val="72"/>
          <w:szCs w:val="72"/>
        </w:rPr>
      </w:pPr>
      <w:bookmarkStart w:id="0" w:name="_Toc15377425"/>
      <w:bookmarkStart w:id="1" w:name="_Toc15377193"/>
      <w:bookmarkStart w:id="2" w:name="_Toc15396475"/>
      <w:bookmarkStart w:id="3" w:name="_Toc15378441"/>
      <w:bookmarkStart w:id="4" w:name="_Toc15396597"/>
      <w:bookmarkStart w:id="5" w:name="_Toc15306267"/>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adjustRightInd w:val="0"/>
        <w:snapToGrid w:val="0"/>
        <w:spacing w:line="360" w:lineRule="auto"/>
        <w:jc w:val="center"/>
        <w:outlineLvl w:val="0"/>
        <w:rPr>
          <w:rFonts w:eastAsia="方正小标宋简体"/>
          <w:sz w:val="72"/>
          <w:szCs w:val="72"/>
        </w:rPr>
      </w:pPr>
      <w:r>
        <w:rPr>
          <w:rFonts w:eastAsia="方正小标宋简体"/>
          <w:sz w:val="72"/>
          <w:szCs w:val="72"/>
        </w:rPr>
        <w:t>2021</w:t>
      </w:r>
      <w:r>
        <w:rPr>
          <w:rFonts w:hAnsi="方正小标宋简体" w:eastAsia="方正小标宋简体"/>
          <w:sz w:val="72"/>
          <w:szCs w:val="72"/>
        </w:rPr>
        <w:t>年度</w:t>
      </w:r>
      <w:bookmarkEnd w:id="0"/>
      <w:bookmarkEnd w:id="1"/>
      <w:bookmarkEnd w:id="2"/>
      <w:bookmarkEnd w:id="3"/>
      <w:bookmarkEnd w:id="4"/>
    </w:p>
    <w:bookmarkEnd w:id="5"/>
    <w:p>
      <w:pPr>
        <w:adjustRightInd w:val="0"/>
        <w:snapToGrid w:val="0"/>
        <w:spacing w:line="360" w:lineRule="auto"/>
        <w:jc w:val="center"/>
        <w:outlineLvl w:val="0"/>
        <w:rPr>
          <w:rFonts w:eastAsia="方正小标宋简体"/>
          <w:sz w:val="48"/>
          <w:szCs w:val="72"/>
        </w:rPr>
      </w:pPr>
      <w:bookmarkStart w:id="6" w:name="_Toc15378442"/>
      <w:bookmarkStart w:id="7" w:name="_Toc15377194"/>
      <w:bookmarkStart w:id="8" w:name="_Toc15396476"/>
      <w:bookmarkStart w:id="9" w:name="_Toc15377426"/>
      <w:bookmarkStart w:id="10" w:name="_Toc15396598"/>
      <w:bookmarkStart w:id="11" w:name="_Toc15306268"/>
      <w:r>
        <w:rPr>
          <w:rFonts w:hAnsi="方正小标宋简体" w:eastAsia="方正小标宋简体"/>
          <w:sz w:val="48"/>
          <w:szCs w:val="72"/>
        </w:rPr>
        <w:t>四川省攀枝花市科学技术协会部门决算</w:t>
      </w:r>
      <w:bookmarkEnd w:id="6"/>
      <w:bookmarkEnd w:id="7"/>
      <w:bookmarkEnd w:id="8"/>
      <w:bookmarkEnd w:id="9"/>
      <w:bookmarkEnd w:id="10"/>
      <w:bookmarkEnd w:id="11"/>
    </w:p>
    <w:p>
      <w:pPr>
        <w:widowControl/>
        <w:jc w:val="center"/>
        <w:rPr>
          <w:rFonts w:eastAsia="黑体"/>
          <w:sz w:val="48"/>
          <w:szCs w:val="48"/>
        </w:rPr>
      </w:pPr>
      <w:r>
        <w:rPr>
          <w:rFonts w:eastAsia="方正小标宋简体"/>
          <w:sz w:val="36"/>
          <w:szCs w:val="36"/>
        </w:rPr>
        <w:br w:type="page"/>
      </w:r>
      <w:r>
        <w:rPr>
          <w:rFonts w:hAnsi="黑体" w:eastAsia="黑体"/>
          <w:sz w:val="48"/>
          <w:szCs w:val="48"/>
        </w:rPr>
        <w:t>目录</w:t>
      </w:r>
    </w:p>
    <w:p>
      <w:pPr>
        <w:widowControl/>
        <w:jc w:val="center"/>
        <w:rPr>
          <w:rFonts w:eastAsia="黑体"/>
          <w:sz w:val="28"/>
          <w:szCs w:val="28"/>
        </w:rPr>
      </w:pPr>
    </w:p>
    <w:p>
      <w:pPr>
        <w:pStyle w:val="11"/>
        <w:spacing w:line="600" w:lineRule="exact"/>
        <w:rPr>
          <w:rFonts w:ascii="Times New Roman" w:hAnsi="Times New Roman"/>
        </w:rPr>
      </w:pPr>
      <w:r>
        <w:rPr>
          <w:rFonts w:ascii="Times New Roman"/>
        </w:rPr>
        <w:t>公开时间：</w:t>
      </w:r>
      <w:r>
        <w:rPr>
          <w:rFonts w:ascii="Times New Roman" w:hAnsi="Times New Roman"/>
        </w:rPr>
        <w:t>2022</w:t>
      </w:r>
      <w:r>
        <w:rPr>
          <w:rFonts w:ascii="Times New Roman"/>
        </w:rPr>
        <w:t>年</w:t>
      </w:r>
      <w:r>
        <w:rPr>
          <w:rFonts w:ascii="Times New Roman" w:hAnsi="Times New Roman"/>
        </w:rPr>
        <w:t>9</w:t>
      </w:r>
      <w:r>
        <w:rPr>
          <w:rFonts w:ascii="Times New Roman"/>
        </w:rPr>
        <w:t>月</w:t>
      </w:r>
      <w:r>
        <w:rPr>
          <w:rFonts w:hint="eastAsia" w:ascii="Times New Roman"/>
          <w:lang w:val="en-US" w:eastAsia="zh-CN"/>
        </w:rPr>
        <w:t>13</w:t>
      </w:r>
      <w:r>
        <w:rPr>
          <w:rFonts w:ascii="Times New Roman"/>
        </w:rPr>
        <w:t>日</w:t>
      </w:r>
    </w:p>
    <w:p>
      <w:pPr>
        <w:spacing w:line="600" w:lineRule="exact"/>
      </w:pPr>
    </w:p>
    <w:p>
      <w:pPr>
        <w:pStyle w:val="11"/>
        <w:adjustRightInd w:val="0"/>
        <w:snapToGrid w:val="0"/>
        <w:spacing w:before="0" w:line="600" w:lineRule="exact"/>
        <w:jc w:val="left"/>
        <w:rPr>
          <w:rFonts w:ascii="Times New Roman" w:hAnsi="Times New Roman"/>
        </w:rPr>
      </w:pPr>
      <w:r>
        <w:rPr>
          <w:rFonts w:ascii="Times New Roman"/>
        </w:rPr>
        <w:t>第一部分部门概况</w:t>
      </w:r>
      <w:r>
        <w:rPr>
          <w:rFonts w:ascii="Times New Roman" w:hAnsi="Times New Roman"/>
        </w:rPr>
        <w:tab/>
      </w:r>
      <w:r>
        <w:rPr>
          <w:rFonts w:ascii="Times New Roman" w:hAnsi="Times New Roman"/>
        </w:rPr>
        <w:t>4</w:t>
      </w:r>
    </w:p>
    <w:p>
      <w:pPr>
        <w:pStyle w:val="12"/>
        <w:adjustRightInd w:val="0"/>
        <w:snapToGrid w:val="0"/>
        <w:spacing w:line="600" w:lineRule="exact"/>
        <w:jc w:val="left"/>
        <w:rPr>
          <w:rFonts w:eastAsia="仿宋"/>
          <w:sz w:val="28"/>
          <w:szCs w:val="28"/>
        </w:rPr>
      </w:pPr>
      <w:r>
        <w:rPr>
          <w:sz w:val="28"/>
          <w:szCs w:val="28"/>
        </w:rPr>
        <w:t>一、基本职能及主要工作</w:t>
      </w:r>
      <w:r>
        <w:rPr>
          <w:rFonts w:eastAsia="仿宋"/>
          <w:sz w:val="28"/>
          <w:szCs w:val="28"/>
        </w:rPr>
        <w:tab/>
      </w:r>
      <w:r>
        <w:rPr>
          <w:rFonts w:eastAsia="仿宋"/>
          <w:sz w:val="28"/>
          <w:szCs w:val="28"/>
        </w:rPr>
        <w:t>4</w:t>
      </w:r>
    </w:p>
    <w:p>
      <w:pPr>
        <w:pStyle w:val="12"/>
        <w:adjustRightInd w:val="0"/>
        <w:snapToGrid w:val="0"/>
        <w:spacing w:line="600" w:lineRule="exact"/>
        <w:jc w:val="left"/>
        <w:rPr>
          <w:rFonts w:eastAsia="仿宋"/>
          <w:sz w:val="28"/>
          <w:szCs w:val="28"/>
        </w:rPr>
      </w:pPr>
      <w:r>
        <w:rPr>
          <w:sz w:val="28"/>
          <w:szCs w:val="28"/>
        </w:rPr>
        <w:t>二、机构设置</w:t>
      </w:r>
      <w:r>
        <w:rPr>
          <w:rFonts w:eastAsia="仿宋"/>
          <w:sz w:val="28"/>
          <w:szCs w:val="28"/>
        </w:rPr>
        <w:tab/>
      </w:r>
      <w:r>
        <w:rPr>
          <w:sz w:val="28"/>
          <w:szCs w:val="28"/>
        </w:rPr>
        <w:t>12</w:t>
      </w:r>
    </w:p>
    <w:p>
      <w:pPr>
        <w:pStyle w:val="11"/>
        <w:adjustRightInd w:val="0"/>
        <w:snapToGrid w:val="0"/>
        <w:spacing w:before="0" w:line="600" w:lineRule="exact"/>
        <w:jc w:val="left"/>
        <w:rPr>
          <w:rFonts w:ascii="Times New Roman" w:hAnsi="Times New Roman"/>
        </w:rPr>
      </w:pPr>
      <w:r>
        <w:rPr>
          <w:rFonts w:ascii="Times New Roman"/>
        </w:rPr>
        <w:t>第二部分</w:t>
      </w:r>
      <w:r>
        <w:rPr>
          <w:rFonts w:ascii="Times New Roman" w:hAnsi="Times New Roman"/>
        </w:rPr>
        <w:t xml:space="preserve"> 2021</w:t>
      </w:r>
      <w:r>
        <w:rPr>
          <w:rFonts w:ascii="Times New Roman"/>
        </w:rPr>
        <w:t>年度部门决算情况说明</w:t>
      </w:r>
      <w:r>
        <w:rPr>
          <w:rFonts w:ascii="Times New Roman" w:hAnsi="Times New Roman"/>
        </w:rPr>
        <w:tab/>
      </w:r>
      <w:r>
        <w:rPr>
          <w:rFonts w:ascii="Times New Roman" w:hAnsi="Times New Roman"/>
        </w:rPr>
        <w:t>14</w:t>
      </w:r>
    </w:p>
    <w:p>
      <w:pPr>
        <w:pStyle w:val="12"/>
        <w:adjustRightInd w:val="0"/>
        <w:snapToGrid w:val="0"/>
        <w:spacing w:line="600" w:lineRule="exact"/>
        <w:jc w:val="left"/>
        <w:rPr>
          <w:rFonts w:eastAsia="仿宋"/>
          <w:sz w:val="28"/>
          <w:szCs w:val="28"/>
        </w:rPr>
      </w:pPr>
      <w:r>
        <w:rPr>
          <w:sz w:val="28"/>
          <w:szCs w:val="28"/>
        </w:rPr>
        <w:t>一、收入支出决算总体情况说明</w:t>
      </w:r>
      <w:r>
        <w:rPr>
          <w:rFonts w:eastAsia="仿宋"/>
          <w:sz w:val="28"/>
          <w:szCs w:val="28"/>
        </w:rPr>
        <w:tab/>
      </w:r>
      <w:r>
        <w:rPr>
          <w:sz w:val="28"/>
          <w:szCs w:val="28"/>
        </w:rPr>
        <w:t>14</w:t>
      </w:r>
    </w:p>
    <w:p>
      <w:pPr>
        <w:pStyle w:val="12"/>
        <w:adjustRightInd w:val="0"/>
        <w:snapToGrid w:val="0"/>
        <w:spacing w:line="600" w:lineRule="exact"/>
        <w:jc w:val="left"/>
        <w:rPr>
          <w:rFonts w:eastAsia="仿宋"/>
          <w:sz w:val="28"/>
          <w:szCs w:val="28"/>
        </w:rPr>
      </w:pPr>
      <w:r>
        <w:rPr>
          <w:sz w:val="28"/>
          <w:szCs w:val="28"/>
        </w:rPr>
        <w:t>二、收入决算情况说明</w:t>
      </w:r>
      <w:r>
        <w:rPr>
          <w:rFonts w:eastAsia="仿宋"/>
          <w:sz w:val="28"/>
          <w:szCs w:val="28"/>
        </w:rPr>
        <w:tab/>
      </w:r>
      <w:r>
        <w:rPr>
          <w:sz w:val="28"/>
          <w:szCs w:val="28"/>
        </w:rPr>
        <w:t>14</w:t>
      </w:r>
    </w:p>
    <w:p>
      <w:pPr>
        <w:pStyle w:val="12"/>
        <w:adjustRightInd w:val="0"/>
        <w:snapToGrid w:val="0"/>
        <w:spacing w:line="600" w:lineRule="exact"/>
        <w:jc w:val="left"/>
        <w:rPr>
          <w:rFonts w:eastAsia="仿宋"/>
          <w:sz w:val="28"/>
          <w:szCs w:val="28"/>
        </w:rPr>
      </w:pPr>
      <w:r>
        <w:rPr>
          <w:sz w:val="28"/>
          <w:szCs w:val="28"/>
        </w:rPr>
        <w:t>三、支出决算情况说明</w:t>
      </w:r>
      <w:r>
        <w:rPr>
          <w:rFonts w:eastAsia="仿宋"/>
          <w:sz w:val="28"/>
          <w:szCs w:val="28"/>
        </w:rPr>
        <w:tab/>
      </w:r>
      <w:r>
        <w:rPr>
          <w:sz w:val="28"/>
          <w:szCs w:val="28"/>
        </w:rPr>
        <w:t>15</w:t>
      </w:r>
    </w:p>
    <w:p>
      <w:pPr>
        <w:pStyle w:val="12"/>
        <w:adjustRightInd w:val="0"/>
        <w:snapToGrid w:val="0"/>
        <w:spacing w:line="600" w:lineRule="exact"/>
        <w:jc w:val="left"/>
        <w:rPr>
          <w:rFonts w:eastAsia="仿宋"/>
          <w:sz w:val="28"/>
          <w:szCs w:val="28"/>
        </w:rPr>
      </w:pPr>
      <w:r>
        <w:rPr>
          <w:sz w:val="28"/>
          <w:szCs w:val="28"/>
        </w:rPr>
        <w:t>四、财政拨款收入支出决算总体情况说明</w:t>
      </w:r>
      <w:r>
        <w:rPr>
          <w:rFonts w:eastAsia="仿宋"/>
          <w:sz w:val="28"/>
          <w:szCs w:val="28"/>
        </w:rPr>
        <w:tab/>
      </w:r>
      <w:r>
        <w:rPr>
          <w:sz w:val="28"/>
          <w:szCs w:val="28"/>
        </w:rPr>
        <w:t>15</w:t>
      </w:r>
    </w:p>
    <w:p>
      <w:pPr>
        <w:pStyle w:val="12"/>
        <w:adjustRightInd w:val="0"/>
        <w:snapToGrid w:val="0"/>
        <w:spacing w:line="600" w:lineRule="exact"/>
        <w:jc w:val="left"/>
        <w:rPr>
          <w:rFonts w:eastAsia="仿宋"/>
          <w:sz w:val="28"/>
          <w:szCs w:val="28"/>
        </w:rPr>
      </w:pPr>
      <w:r>
        <w:rPr>
          <w:sz w:val="28"/>
          <w:szCs w:val="28"/>
        </w:rPr>
        <w:t>五、一般公共预算财政拨款支出决算情况说明</w:t>
      </w:r>
      <w:r>
        <w:rPr>
          <w:rFonts w:eastAsia="仿宋"/>
          <w:sz w:val="28"/>
          <w:szCs w:val="28"/>
        </w:rPr>
        <w:tab/>
      </w:r>
      <w:r>
        <w:rPr>
          <w:sz w:val="28"/>
          <w:szCs w:val="28"/>
        </w:rPr>
        <w:t>16</w:t>
      </w:r>
    </w:p>
    <w:p>
      <w:pPr>
        <w:pStyle w:val="12"/>
        <w:adjustRightInd w:val="0"/>
        <w:snapToGrid w:val="0"/>
        <w:spacing w:line="600" w:lineRule="exact"/>
        <w:jc w:val="left"/>
        <w:rPr>
          <w:rFonts w:eastAsia="仿宋"/>
          <w:sz w:val="28"/>
          <w:szCs w:val="28"/>
        </w:rPr>
      </w:pPr>
      <w:r>
        <w:rPr>
          <w:sz w:val="28"/>
          <w:szCs w:val="28"/>
        </w:rPr>
        <w:t>六、一般公共预算财政拨款基本支出决算情况说明</w:t>
      </w:r>
      <w:r>
        <w:rPr>
          <w:rFonts w:eastAsia="仿宋"/>
          <w:sz w:val="28"/>
          <w:szCs w:val="28"/>
        </w:rPr>
        <w:tab/>
      </w:r>
      <w:r>
        <w:rPr>
          <w:sz w:val="28"/>
          <w:szCs w:val="28"/>
        </w:rPr>
        <w:t>18</w:t>
      </w:r>
    </w:p>
    <w:p>
      <w:pPr>
        <w:pStyle w:val="12"/>
        <w:adjustRightInd w:val="0"/>
        <w:snapToGrid w:val="0"/>
        <w:spacing w:line="600" w:lineRule="exact"/>
        <w:jc w:val="left"/>
        <w:rPr>
          <w:rFonts w:eastAsia="仿宋"/>
          <w:sz w:val="28"/>
          <w:szCs w:val="28"/>
        </w:rPr>
      </w:pPr>
      <w:r>
        <w:rPr>
          <w:sz w:val="28"/>
          <w:szCs w:val="28"/>
        </w:rPr>
        <w:t>七、“三公”经费财政拨款支出决算情况说明</w:t>
      </w:r>
      <w:r>
        <w:rPr>
          <w:rFonts w:eastAsia="仿宋"/>
          <w:sz w:val="28"/>
          <w:szCs w:val="28"/>
        </w:rPr>
        <w:tab/>
      </w:r>
      <w:r>
        <w:rPr>
          <w:sz w:val="28"/>
          <w:szCs w:val="28"/>
        </w:rPr>
        <w:t>18</w:t>
      </w:r>
    </w:p>
    <w:p>
      <w:pPr>
        <w:pStyle w:val="12"/>
        <w:adjustRightInd w:val="0"/>
        <w:snapToGrid w:val="0"/>
        <w:spacing w:line="600" w:lineRule="exact"/>
        <w:jc w:val="left"/>
        <w:rPr>
          <w:rFonts w:eastAsia="仿宋"/>
          <w:sz w:val="28"/>
          <w:szCs w:val="28"/>
        </w:rPr>
      </w:pPr>
      <w:r>
        <w:rPr>
          <w:sz w:val="28"/>
          <w:szCs w:val="28"/>
        </w:rPr>
        <w:t>八、政府性基金预算支出决算情况说明</w:t>
      </w:r>
      <w:r>
        <w:rPr>
          <w:rFonts w:eastAsia="仿宋"/>
          <w:sz w:val="28"/>
          <w:szCs w:val="28"/>
        </w:rPr>
        <w:tab/>
      </w:r>
      <w:r>
        <w:rPr>
          <w:sz w:val="28"/>
          <w:szCs w:val="28"/>
        </w:rPr>
        <w:t>20</w:t>
      </w:r>
    </w:p>
    <w:p>
      <w:pPr>
        <w:pStyle w:val="12"/>
        <w:adjustRightInd w:val="0"/>
        <w:snapToGrid w:val="0"/>
        <w:spacing w:line="600" w:lineRule="exact"/>
        <w:ind w:leftChars="0"/>
        <w:jc w:val="left"/>
        <w:rPr>
          <w:rFonts w:eastAsiaTheme="minorEastAsia"/>
          <w:sz w:val="28"/>
          <w:szCs w:val="28"/>
        </w:rPr>
      </w:pPr>
      <w:r>
        <w:rPr>
          <w:rFonts w:hAnsiTheme="minorEastAsia" w:eastAsiaTheme="minorEastAsia"/>
          <w:sz w:val="28"/>
          <w:szCs w:val="28"/>
        </w:rPr>
        <w:t>九、国有资本经营预算支出决算情况说明</w:t>
      </w:r>
      <w:r>
        <w:rPr>
          <w:rFonts w:eastAsia="仿宋"/>
          <w:sz w:val="28"/>
          <w:szCs w:val="28"/>
        </w:rPr>
        <w:tab/>
      </w:r>
      <w:r>
        <w:rPr>
          <w:sz w:val="28"/>
          <w:szCs w:val="28"/>
        </w:rPr>
        <w:t>20</w:t>
      </w:r>
    </w:p>
    <w:p>
      <w:pPr>
        <w:pStyle w:val="12"/>
        <w:adjustRightInd w:val="0"/>
        <w:snapToGrid w:val="0"/>
        <w:spacing w:line="600" w:lineRule="exact"/>
        <w:ind w:leftChars="0"/>
        <w:jc w:val="left"/>
        <w:rPr>
          <w:rFonts w:eastAsiaTheme="minorEastAsia"/>
          <w:sz w:val="28"/>
          <w:szCs w:val="28"/>
        </w:rPr>
      </w:pPr>
      <w:r>
        <w:rPr>
          <w:rFonts w:hAnsiTheme="minorEastAsia" w:eastAsiaTheme="minorEastAsia"/>
          <w:sz w:val="28"/>
          <w:szCs w:val="28"/>
        </w:rPr>
        <w:t>十、其他重要事项的情况说明</w:t>
      </w:r>
      <w:r>
        <w:rPr>
          <w:rFonts w:eastAsia="仿宋"/>
          <w:sz w:val="28"/>
          <w:szCs w:val="28"/>
        </w:rPr>
        <w:tab/>
      </w:r>
      <w:r>
        <w:rPr>
          <w:sz w:val="28"/>
          <w:szCs w:val="28"/>
        </w:rPr>
        <w:t>20</w:t>
      </w:r>
    </w:p>
    <w:p>
      <w:pPr>
        <w:pStyle w:val="11"/>
        <w:adjustRightInd w:val="0"/>
        <w:snapToGrid w:val="0"/>
        <w:spacing w:before="0" w:line="600" w:lineRule="exact"/>
        <w:jc w:val="left"/>
        <w:rPr>
          <w:rFonts w:ascii="Times New Roman" w:hAnsi="Times New Roman"/>
        </w:rPr>
      </w:pPr>
      <w:r>
        <w:rPr>
          <w:rFonts w:ascii="Times New Roman"/>
        </w:rPr>
        <w:t>第三部分名词解释</w:t>
      </w:r>
      <w:r>
        <w:rPr>
          <w:rFonts w:ascii="Times New Roman" w:hAnsi="Times New Roman"/>
        </w:rPr>
        <w:tab/>
      </w:r>
      <w:r>
        <w:rPr>
          <w:rFonts w:ascii="Times New Roman" w:hAnsi="Times New Roman"/>
        </w:rPr>
        <w:t>22</w:t>
      </w:r>
    </w:p>
    <w:p>
      <w:pPr>
        <w:pStyle w:val="11"/>
        <w:adjustRightInd w:val="0"/>
        <w:snapToGrid w:val="0"/>
        <w:spacing w:before="0" w:line="600" w:lineRule="exact"/>
        <w:jc w:val="left"/>
        <w:rPr>
          <w:rFonts w:ascii="Times New Roman" w:hAnsi="Times New Roman"/>
        </w:rPr>
      </w:pPr>
      <w:r>
        <w:rPr>
          <w:rFonts w:ascii="Times New Roman"/>
        </w:rPr>
        <w:t>第四部分附件</w:t>
      </w:r>
      <w:r>
        <w:rPr>
          <w:rFonts w:ascii="Times New Roman" w:hAnsi="Times New Roman"/>
        </w:rPr>
        <w:tab/>
      </w:r>
      <w:r>
        <w:rPr>
          <w:rFonts w:ascii="Times New Roman" w:hAnsi="Times New Roman"/>
        </w:rPr>
        <w:t>26</w:t>
      </w:r>
    </w:p>
    <w:p>
      <w:pPr>
        <w:pStyle w:val="11"/>
        <w:adjustRightInd w:val="0"/>
        <w:snapToGrid w:val="0"/>
        <w:spacing w:before="0" w:line="600" w:lineRule="exact"/>
        <w:jc w:val="left"/>
        <w:rPr>
          <w:rFonts w:ascii="Times New Roman" w:hAnsi="Times New Roman"/>
        </w:rPr>
      </w:pPr>
      <w:r>
        <w:rPr>
          <w:rFonts w:ascii="Times New Roman"/>
        </w:rPr>
        <w:t>第五部分附表</w:t>
      </w:r>
      <w:r>
        <w:rPr>
          <w:rFonts w:ascii="Times New Roman" w:hAnsi="Times New Roman"/>
        </w:rPr>
        <w:tab/>
      </w:r>
      <w:r>
        <w:rPr>
          <w:rFonts w:ascii="Times New Roman" w:hAnsi="Times New Roman"/>
        </w:rPr>
        <w:t>4</w:t>
      </w:r>
      <w:r>
        <w:rPr>
          <w:rFonts w:hint="eastAsia" w:ascii="Times New Roman" w:hAnsi="Times New Roman"/>
        </w:rPr>
        <w:t>7</w:t>
      </w:r>
    </w:p>
    <w:p>
      <w:pPr>
        <w:pStyle w:val="12"/>
        <w:adjustRightInd w:val="0"/>
        <w:snapToGrid w:val="0"/>
        <w:spacing w:line="600" w:lineRule="exact"/>
        <w:jc w:val="left"/>
        <w:rPr>
          <w:rFonts w:eastAsia="仿宋"/>
          <w:sz w:val="24"/>
        </w:rPr>
      </w:pPr>
      <w:r>
        <w:rPr>
          <w:rFonts w:hAnsi="仿宋" w:eastAsia="仿宋"/>
          <w:sz w:val="24"/>
        </w:rPr>
        <w:t>一、</w:t>
      </w:r>
      <w:r>
        <w:rPr>
          <w:sz w:val="24"/>
        </w:rPr>
        <w:t>收入支出决算总表</w:t>
      </w:r>
    </w:p>
    <w:p>
      <w:pPr>
        <w:pStyle w:val="12"/>
        <w:adjustRightInd w:val="0"/>
        <w:snapToGrid w:val="0"/>
        <w:spacing w:line="600" w:lineRule="exact"/>
        <w:jc w:val="left"/>
        <w:rPr>
          <w:rFonts w:eastAsiaTheme="minorEastAsia"/>
          <w:sz w:val="24"/>
        </w:rPr>
      </w:pPr>
      <w:r>
        <w:rPr>
          <w:rFonts w:hAnsiTheme="minorEastAsia" w:eastAsiaTheme="minorEastAsia"/>
          <w:sz w:val="24"/>
        </w:rPr>
        <w:t>二、收入决算表</w:t>
      </w:r>
    </w:p>
    <w:p>
      <w:pPr>
        <w:pStyle w:val="12"/>
        <w:adjustRightInd w:val="0"/>
        <w:snapToGrid w:val="0"/>
        <w:spacing w:line="600" w:lineRule="exact"/>
        <w:jc w:val="left"/>
        <w:rPr>
          <w:rFonts w:eastAsiaTheme="minorEastAsia"/>
          <w:sz w:val="24"/>
        </w:rPr>
      </w:pPr>
      <w:r>
        <w:rPr>
          <w:rFonts w:hAnsiTheme="minorEastAsia" w:eastAsiaTheme="minorEastAsia"/>
          <w:sz w:val="24"/>
        </w:rPr>
        <w:t>三、支出决算表</w:t>
      </w:r>
    </w:p>
    <w:p>
      <w:pPr>
        <w:pStyle w:val="12"/>
        <w:adjustRightInd w:val="0"/>
        <w:snapToGrid w:val="0"/>
        <w:spacing w:line="600" w:lineRule="exact"/>
        <w:jc w:val="left"/>
        <w:rPr>
          <w:rFonts w:eastAsiaTheme="minorEastAsia"/>
          <w:sz w:val="24"/>
        </w:rPr>
      </w:pPr>
      <w:r>
        <w:rPr>
          <w:rFonts w:hAnsiTheme="minorEastAsia" w:eastAsiaTheme="minorEastAsia"/>
          <w:sz w:val="24"/>
        </w:rPr>
        <w:t>四、财政拨款收入支出决算总表</w:t>
      </w:r>
    </w:p>
    <w:p>
      <w:pPr>
        <w:pStyle w:val="12"/>
        <w:adjustRightInd w:val="0"/>
        <w:snapToGrid w:val="0"/>
        <w:spacing w:line="600" w:lineRule="exact"/>
        <w:jc w:val="left"/>
        <w:rPr>
          <w:rFonts w:eastAsiaTheme="minorEastAsia"/>
          <w:sz w:val="24"/>
        </w:rPr>
      </w:pPr>
      <w:r>
        <w:rPr>
          <w:rFonts w:hAnsiTheme="minorEastAsia" w:eastAsiaTheme="minorEastAsia"/>
          <w:sz w:val="24"/>
        </w:rPr>
        <w:t>五、财政拨款支出决算明细表</w:t>
      </w:r>
    </w:p>
    <w:p>
      <w:pPr>
        <w:pStyle w:val="12"/>
        <w:adjustRightInd w:val="0"/>
        <w:snapToGrid w:val="0"/>
        <w:spacing w:line="600" w:lineRule="exact"/>
        <w:jc w:val="left"/>
        <w:rPr>
          <w:rFonts w:eastAsiaTheme="minorEastAsia"/>
          <w:sz w:val="24"/>
        </w:rPr>
      </w:pPr>
      <w:r>
        <w:rPr>
          <w:rFonts w:hAnsiTheme="minorEastAsia" w:eastAsiaTheme="minorEastAsia"/>
          <w:sz w:val="24"/>
        </w:rPr>
        <w:t>六、一般公共预算财政拨款支出决算表</w:t>
      </w:r>
    </w:p>
    <w:p>
      <w:pPr>
        <w:pStyle w:val="12"/>
        <w:adjustRightInd w:val="0"/>
        <w:snapToGrid w:val="0"/>
        <w:spacing w:line="600" w:lineRule="exact"/>
        <w:jc w:val="left"/>
        <w:rPr>
          <w:rFonts w:eastAsiaTheme="minorEastAsia"/>
          <w:sz w:val="24"/>
        </w:rPr>
      </w:pPr>
      <w:r>
        <w:rPr>
          <w:rFonts w:hAnsiTheme="minorEastAsia" w:eastAsiaTheme="minorEastAsia"/>
          <w:sz w:val="24"/>
        </w:rPr>
        <w:t>七、一般公共预算财政拨款支出决算明细表</w:t>
      </w:r>
    </w:p>
    <w:p>
      <w:pPr>
        <w:pStyle w:val="12"/>
        <w:adjustRightInd w:val="0"/>
        <w:snapToGrid w:val="0"/>
        <w:spacing w:line="600" w:lineRule="exact"/>
        <w:jc w:val="left"/>
        <w:rPr>
          <w:rFonts w:eastAsiaTheme="minorEastAsia"/>
          <w:sz w:val="24"/>
        </w:rPr>
      </w:pPr>
      <w:r>
        <w:rPr>
          <w:rFonts w:hAnsiTheme="minorEastAsia" w:eastAsiaTheme="minorEastAsia"/>
          <w:sz w:val="24"/>
        </w:rPr>
        <w:t>八、一般公共预算财政拨款基本支出决算表</w:t>
      </w:r>
    </w:p>
    <w:p>
      <w:pPr>
        <w:pStyle w:val="12"/>
        <w:adjustRightInd w:val="0"/>
        <w:snapToGrid w:val="0"/>
        <w:spacing w:line="600" w:lineRule="exact"/>
        <w:jc w:val="left"/>
        <w:rPr>
          <w:rFonts w:eastAsiaTheme="minorEastAsia"/>
          <w:sz w:val="24"/>
        </w:rPr>
      </w:pPr>
      <w:r>
        <w:rPr>
          <w:rFonts w:hAnsiTheme="minorEastAsia" w:eastAsiaTheme="minorEastAsia"/>
          <w:sz w:val="24"/>
        </w:rPr>
        <w:t>九、一般公共预算财政拨款项目支出决算表</w:t>
      </w:r>
    </w:p>
    <w:p>
      <w:pPr>
        <w:pStyle w:val="12"/>
        <w:adjustRightInd w:val="0"/>
        <w:snapToGrid w:val="0"/>
        <w:spacing w:line="600" w:lineRule="exact"/>
        <w:jc w:val="left"/>
        <w:rPr>
          <w:rFonts w:eastAsiaTheme="minorEastAsia"/>
          <w:sz w:val="24"/>
        </w:rPr>
      </w:pPr>
      <w:r>
        <w:rPr>
          <w:rFonts w:hAnsiTheme="minorEastAsia" w:eastAsiaTheme="minorEastAsia"/>
          <w:sz w:val="24"/>
        </w:rPr>
        <w:t>十、一般公共预算财政拨款</w:t>
      </w:r>
      <w:r>
        <w:rPr>
          <w:rFonts w:eastAsiaTheme="minorEastAsia"/>
          <w:sz w:val="24"/>
        </w:rPr>
        <w:t>“</w:t>
      </w:r>
      <w:r>
        <w:rPr>
          <w:rFonts w:hAnsiTheme="minorEastAsia" w:eastAsiaTheme="minorEastAsia"/>
          <w:sz w:val="24"/>
        </w:rPr>
        <w:t>三公</w:t>
      </w:r>
      <w:r>
        <w:rPr>
          <w:rFonts w:eastAsiaTheme="minorEastAsia"/>
          <w:sz w:val="24"/>
        </w:rPr>
        <w:t>”</w:t>
      </w:r>
      <w:r>
        <w:rPr>
          <w:rFonts w:hAnsiTheme="minorEastAsia" w:eastAsiaTheme="minorEastAsia"/>
          <w:sz w:val="24"/>
        </w:rPr>
        <w:t>经费支出决算表</w:t>
      </w:r>
    </w:p>
    <w:p>
      <w:pPr>
        <w:pStyle w:val="12"/>
        <w:adjustRightInd w:val="0"/>
        <w:snapToGrid w:val="0"/>
        <w:spacing w:line="600" w:lineRule="exact"/>
        <w:jc w:val="left"/>
        <w:rPr>
          <w:rFonts w:eastAsiaTheme="minorEastAsia"/>
          <w:sz w:val="24"/>
        </w:rPr>
      </w:pPr>
      <w:r>
        <w:rPr>
          <w:rFonts w:hAnsiTheme="minorEastAsia" w:eastAsiaTheme="minorEastAsia"/>
          <w:sz w:val="24"/>
        </w:rPr>
        <w:t>十一、政府性基金预算财政拨款收入支出决算表</w:t>
      </w:r>
    </w:p>
    <w:p>
      <w:pPr>
        <w:pStyle w:val="12"/>
        <w:adjustRightInd w:val="0"/>
        <w:snapToGrid w:val="0"/>
        <w:spacing w:line="600" w:lineRule="exact"/>
        <w:jc w:val="left"/>
        <w:rPr>
          <w:rFonts w:eastAsiaTheme="minorEastAsia"/>
          <w:sz w:val="24"/>
        </w:rPr>
      </w:pPr>
      <w:r>
        <w:rPr>
          <w:rFonts w:hAnsiTheme="minorEastAsia" w:eastAsiaTheme="minorEastAsia"/>
          <w:sz w:val="24"/>
        </w:rPr>
        <w:t>十二、政府性基金预算财政拨款</w:t>
      </w:r>
      <w:r>
        <w:rPr>
          <w:rFonts w:eastAsiaTheme="minorEastAsia"/>
          <w:sz w:val="24"/>
        </w:rPr>
        <w:t>“</w:t>
      </w:r>
      <w:r>
        <w:rPr>
          <w:rFonts w:hAnsiTheme="minorEastAsia" w:eastAsiaTheme="minorEastAsia"/>
          <w:sz w:val="24"/>
        </w:rPr>
        <w:t>三公</w:t>
      </w:r>
      <w:r>
        <w:rPr>
          <w:rFonts w:eastAsiaTheme="minorEastAsia"/>
          <w:sz w:val="24"/>
        </w:rPr>
        <w:t>”</w:t>
      </w:r>
      <w:r>
        <w:rPr>
          <w:rFonts w:hAnsiTheme="minorEastAsia" w:eastAsiaTheme="minorEastAsia"/>
          <w:sz w:val="24"/>
        </w:rPr>
        <w:t>经费支出决算表</w:t>
      </w:r>
    </w:p>
    <w:p>
      <w:pPr>
        <w:pStyle w:val="12"/>
        <w:adjustRightInd w:val="0"/>
        <w:snapToGrid w:val="0"/>
        <w:spacing w:line="600" w:lineRule="exact"/>
        <w:jc w:val="left"/>
        <w:rPr>
          <w:rFonts w:eastAsiaTheme="minorEastAsia"/>
          <w:sz w:val="24"/>
        </w:rPr>
      </w:pPr>
      <w:r>
        <w:rPr>
          <w:rFonts w:hAnsiTheme="minorEastAsia" w:eastAsiaTheme="minorEastAsia"/>
          <w:sz w:val="24"/>
        </w:rPr>
        <w:t>十三、国有资本经营预算财政拨款收入支出决算表</w:t>
      </w:r>
    </w:p>
    <w:p>
      <w:pPr>
        <w:pStyle w:val="12"/>
        <w:adjustRightInd w:val="0"/>
        <w:snapToGrid w:val="0"/>
        <w:spacing w:line="600" w:lineRule="exact"/>
        <w:jc w:val="left"/>
        <w:rPr>
          <w:rFonts w:eastAsiaTheme="minorEastAsia"/>
          <w:sz w:val="24"/>
        </w:rPr>
      </w:pPr>
      <w:r>
        <w:rPr>
          <w:rFonts w:hAnsiTheme="minorEastAsia" w:eastAsiaTheme="minorEastAsia"/>
          <w:sz w:val="24"/>
        </w:rPr>
        <w:t>十四、国有资本经营预算财政拨款支出决算表</w:t>
      </w:r>
    </w:p>
    <w:p>
      <w:pPr>
        <w:widowControl/>
        <w:spacing w:line="600" w:lineRule="exact"/>
        <w:jc w:val="left"/>
        <w:rPr>
          <w:rFonts w:eastAsia="仿宋"/>
          <w:bCs/>
          <w:kern w:val="44"/>
          <w:sz w:val="24"/>
        </w:rPr>
      </w:pPr>
      <w:bookmarkStart w:id="12" w:name="_Toc15377196"/>
      <w:bookmarkStart w:id="13" w:name="_Toc15396599"/>
      <w:r>
        <w:rPr>
          <w:rFonts w:eastAsia="仿宋"/>
          <w:b/>
          <w:sz w:val="24"/>
        </w:rPr>
        <w:br w:type="page"/>
      </w:r>
    </w:p>
    <w:p>
      <w:pPr>
        <w:pStyle w:val="3"/>
        <w:spacing w:line="580" w:lineRule="exact"/>
        <w:jc w:val="center"/>
        <w:rPr>
          <w:rFonts w:eastAsia="黑体"/>
          <w:bCs w:val="0"/>
        </w:rPr>
      </w:pPr>
      <w:r>
        <w:rPr>
          <w:rFonts w:hAnsi="黑体" w:eastAsia="黑体"/>
          <w:b w:val="0"/>
        </w:rPr>
        <w:t>第一部分</w:t>
      </w:r>
      <w:r>
        <w:rPr>
          <w:rStyle w:val="25"/>
          <w:rFonts w:hAnsi="黑体" w:eastAsia="黑体"/>
          <w:b w:val="0"/>
          <w:bCs w:val="0"/>
        </w:rPr>
        <w:t>部门概况</w:t>
      </w:r>
      <w:bookmarkEnd w:id="12"/>
      <w:bookmarkEnd w:id="13"/>
    </w:p>
    <w:p>
      <w:pPr>
        <w:pStyle w:val="4"/>
        <w:spacing w:before="0" w:after="0" w:line="580" w:lineRule="exact"/>
        <w:ind w:firstLine="624" w:firstLineChars="200"/>
        <w:rPr>
          <w:rStyle w:val="26"/>
          <w:rFonts w:ascii="Times New Roman" w:hAnsi="Times New Roman" w:eastAsia="仿宋" w:cs="Times New Roman"/>
          <w:b w:val="0"/>
          <w:bCs w:val="0"/>
          <w:spacing w:val="-4"/>
        </w:rPr>
      </w:pPr>
      <w:bookmarkStart w:id="14" w:name="_Toc15377197"/>
      <w:bookmarkStart w:id="15" w:name="_Toc15396600"/>
      <w:r>
        <w:rPr>
          <w:rFonts w:ascii="Times New Roman" w:hAnsi="黑体" w:eastAsia="黑体" w:cs="Times New Roman"/>
          <w:b w:val="0"/>
          <w:spacing w:val="-4"/>
        </w:rPr>
        <w:t>一、基</w:t>
      </w:r>
      <w:r>
        <w:rPr>
          <w:rStyle w:val="26"/>
          <w:rFonts w:ascii="Times New Roman" w:hAnsi="黑体" w:eastAsia="黑体" w:cs="Times New Roman"/>
          <w:b w:val="0"/>
          <w:bCs w:val="0"/>
          <w:spacing w:val="-4"/>
        </w:rPr>
        <w:t>本职能及主要工作</w:t>
      </w:r>
      <w:bookmarkEnd w:id="14"/>
      <w:bookmarkEnd w:id="15"/>
    </w:p>
    <w:p>
      <w:pPr>
        <w:pStyle w:val="2"/>
        <w:adjustRightInd w:val="0"/>
        <w:snapToGrid w:val="0"/>
        <w:spacing w:before="93" w:line="580" w:lineRule="exact"/>
        <w:ind w:firstLine="676" w:firstLineChars="210"/>
        <w:outlineLvl w:val="2"/>
        <w:rPr>
          <w:rFonts w:ascii="Times New Roman" w:eastAsia="方正楷体_GBK"/>
          <w:bCs/>
          <w:spacing w:val="-4"/>
          <w:sz w:val="33"/>
          <w:szCs w:val="33"/>
        </w:rPr>
      </w:pPr>
      <w:bookmarkStart w:id="16" w:name="_Toc15378445"/>
      <w:bookmarkStart w:id="17" w:name="_Toc15377198"/>
      <w:r>
        <w:rPr>
          <w:rFonts w:ascii="Times New Roman" w:hAnsi="方正楷体_GBK" w:eastAsia="方正楷体_GBK"/>
          <w:bCs/>
          <w:spacing w:val="-4"/>
          <w:sz w:val="33"/>
          <w:szCs w:val="33"/>
        </w:rPr>
        <w:t>（一）主要职能。</w:t>
      </w:r>
      <w:bookmarkEnd w:id="16"/>
      <w:bookmarkEnd w:id="17"/>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攀枝花市科学技术协会是攀枝花市科学技术工作者的群众组织，是中国共产党攀枝花市委员会领导下的人民团体，是党和政府联系科学技术工作者的桥梁和纽带，是推动科学技术事业发展的重要力量。其主要工作任务是：</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1．密切联系科学技术工作者，宣传党的路线方针政策，反映科学技术工作者的建议、意见和诉求，维护科学技术工作者的合法权益，建设科技工作者之家。</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2．开展学术交流，活跃学术思想，倡导学术民主，优化学术环境，促进学科发展，推进创新体系建设。</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3．组织科学技术工作者开展科技创新，参与科学论证和咨询服务，加快科技成果转化应用，助力创新发展，为增强企业自主创新能力作贡献。</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4．弘扬科学精神，普及科学知识，推广先进技术，捍卫科学尊严，提高全民科学素质。</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5．健全科学共同体的自律功能，推动建立和完善科学研究诚信监督机制，促进科学道德建设和学风建设，宣传优秀科学技术工作者，培育科学文化,践行社会主义核心价值观。</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6．组织科学技术工作者参与科技战略、规划、布局、政策、法律法规的咨询制定和有关社会事务的政治协商、科学决策、民主监督工作，建设高水平科技创新智库。</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7．组织所属学会有序承接科技评估、工程技术领域职业资格认定、职称评定、科技标准研制、科技成果评价、科技奖励推荐等政府委托工作或职能转移。</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8．注重激发青少年科技兴趣，发现培养杰出青年科技工作者和创新团队，推荐表彰奖励优秀科学技术工作者，举荐科学技术人才。</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9．开展民间国际科学技术交流活动，促进国际科学技术合作，发展同国（境）外的科学技术团体和科学技术工作者的友好交往，为海外科技人才来攀创新创业提供服务。</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10．兴办符合攀枝花市科学技术协会宗旨的社会公益性事业。</w:t>
      </w:r>
    </w:p>
    <w:p>
      <w:pPr>
        <w:pStyle w:val="2"/>
        <w:adjustRightInd w:val="0"/>
        <w:snapToGrid w:val="0"/>
        <w:spacing w:before="93" w:line="580" w:lineRule="exact"/>
        <w:ind w:firstLine="655" w:firstLineChars="210"/>
        <w:outlineLvl w:val="2"/>
        <w:rPr>
          <w:rFonts w:ascii="Times New Roman" w:eastAsia="方正楷体_GBK"/>
          <w:bCs/>
          <w:spacing w:val="-4"/>
          <w:sz w:val="32"/>
          <w:szCs w:val="32"/>
        </w:rPr>
      </w:pPr>
      <w:bookmarkStart w:id="18" w:name="_Toc15377199"/>
      <w:bookmarkStart w:id="19" w:name="_Toc15378446"/>
      <w:r>
        <w:rPr>
          <w:rFonts w:ascii="Times New Roman" w:hAnsi="方正楷体_GBK" w:eastAsia="方正楷体_GBK"/>
          <w:bCs/>
          <w:spacing w:val="-4"/>
          <w:sz w:val="32"/>
          <w:szCs w:val="32"/>
        </w:rPr>
        <w:t>（二）</w:t>
      </w:r>
      <w:r>
        <w:rPr>
          <w:rFonts w:ascii="Times New Roman" w:eastAsia="方正楷体_GBK"/>
          <w:bCs/>
          <w:spacing w:val="-4"/>
          <w:sz w:val="32"/>
          <w:szCs w:val="32"/>
        </w:rPr>
        <w:t>2021</w:t>
      </w:r>
      <w:r>
        <w:rPr>
          <w:rFonts w:ascii="Times New Roman" w:hAnsi="方正楷体_GBK" w:eastAsia="方正楷体_GBK"/>
          <w:bCs/>
          <w:spacing w:val="-4"/>
          <w:sz w:val="32"/>
          <w:szCs w:val="32"/>
        </w:rPr>
        <w:t>年重点工作完成情况。</w:t>
      </w:r>
      <w:bookmarkEnd w:id="18"/>
      <w:bookmarkEnd w:id="19"/>
    </w:p>
    <w:p>
      <w:pPr>
        <w:spacing w:line="580" w:lineRule="exact"/>
        <w:ind w:firstLine="624" w:firstLineChars="200"/>
        <w:rPr>
          <w:rFonts w:ascii="方正仿宋_GBK" w:hAnsi="方正仿宋_GBK" w:eastAsia="方正仿宋_GBK"/>
          <w:spacing w:val="-4"/>
          <w:sz w:val="32"/>
          <w:szCs w:val="32"/>
        </w:rPr>
      </w:pPr>
      <w:bookmarkStart w:id="20" w:name="_Toc15396601"/>
      <w:bookmarkStart w:id="21" w:name="_Toc15377200"/>
      <w:r>
        <w:rPr>
          <w:rFonts w:ascii="方正仿宋_GBK" w:hAnsi="方正仿宋_GBK" w:eastAsia="方正仿宋_GBK"/>
          <w:spacing w:val="-4"/>
          <w:sz w:val="32"/>
          <w:szCs w:val="32"/>
        </w:rPr>
        <w:t>2021年，市科协坚持以习近平新时代中国特色社会主义思想为指引，全面贯彻党的十九届五中、六中全会精神和省委十一届八次九次全会、中国科协十大精神和市委十届十次全会、市第十一次党代会精神，围绕省委对我市“3+2”发展定位要求和市委市政府重点工作安排，以“天府科技云”工作为主线，以“保姆式”服务为抓手，扎实开展各项工作。市科协在全国科普日、全国科技工作者日、天府科技云、精准服务科技工作者、提升全民科学素质、服务创新驱动发展、青少年科技大赛、青少年科技教育、“保姆式”服务等10项专项工作上，被中国科协、省科协授予优秀组织单位称号；在四川省2021年度市（州）科协工作综合评价中，被评选为先进单位，名列全省第一。</w:t>
      </w:r>
    </w:p>
    <w:p>
      <w:pPr>
        <w:spacing w:line="580" w:lineRule="exact"/>
        <w:ind w:firstLine="627" w:firstLineChars="200"/>
        <w:outlineLvl w:val="0"/>
        <w:rPr>
          <w:rFonts w:eastAsia="仿宋"/>
          <w:b/>
          <w:spacing w:val="-4"/>
          <w:sz w:val="32"/>
          <w:szCs w:val="32"/>
        </w:rPr>
      </w:pPr>
      <w:r>
        <w:rPr>
          <w:rFonts w:eastAsia="仿宋"/>
          <w:b/>
          <w:spacing w:val="-4"/>
          <w:sz w:val="32"/>
          <w:szCs w:val="32"/>
        </w:rPr>
        <w:t>1.</w:t>
      </w:r>
      <w:r>
        <w:rPr>
          <w:rFonts w:hAnsi="仿宋" w:eastAsia="仿宋"/>
          <w:b/>
          <w:spacing w:val="-4"/>
          <w:sz w:val="32"/>
          <w:szCs w:val="32"/>
        </w:rPr>
        <w:t>坚持党的领导，扎实开展党史学习教育。</w:t>
      </w:r>
    </w:p>
    <w:p>
      <w:pPr>
        <w:spacing w:line="580" w:lineRule="exact"/>
        <w:ind w:firstLine="624" w:firstLineChars="200"/>
        <w:rPr>
          <w:rFonts w:eastAsia="仿宋"/>
          <w:b/>
          <w:spacing w:val="-4"/>
          <w:sz w:val="32"/>
          <w:szCs w:val="32"/>
        </w:rPr>
      </w:pPr>
      <w:r>
        <w:rPr>
          <w:rFonts w:ascii="方正仿宋_GBK" w:hAnsi="方正仿宋_GBK" w:eastAsia="方正仿宋_GBK"/>
          <w:spacing w:val="-4"/>
          <w:sz w:val="32"/>
          <w:szCs w:val="32"/>
        </w:rPr>
        <w:t>一是加强党的建设工作。全年召开18次党组会，对科协工作进行全面安排部署，制定《市科协党组2021年党的建设工作任务清单》和《2021年推进全面从严治党、党风廉政建设和反腐败工作要点》，落实领导班子成员“一岗双责”要求，压紧压实管党治党政治责任；根据省委第十巡视组巡视攀枝花反馈意见，从严从实全面开展对照检查，对检视发现的3大类10个方面13项具体问题，全面完成整改。二是注重意识形态领导。制定出台《攀枝花市科协党组意识形态工作责任制实施细则》，按期召开市科协意识形态工作专题部署会和研判会，强化正确导向。三是多样化开展党史学习教育。制定《市科协系统开展党史学习教育实施方案》，组织召开集中学习会16次，县级领导干部、支部委员作专题辅导报告6场，党组书记上专题党课1场；组织科协系统60余人，以“传承红色基因践行‘三线精神’”、“赓续长征精神·传承红色基因”为主题，举办2场党史学习教育现场教学，让党史学习教育走深走实走心；召开科协系统“感党恩、听党话、跟党走”庆祝建党100周年座谈会，邀请市科协老干部、老科技工作者代表作主题报告，传承红色基因、赓续红色血脉；编制印发科协系统党史学习教育集结册《光的方向》，系统梳理党史学习成果。</w:t>
      </w:r>
    </w:p>
    <w:p>
      <w:pPr>
        <w:spacing w:line="580" w:lineRule="exact"/>
        <w:ind w:firstLine="627" w:firstLineChars="200"/>
        <w:outlineLvl w:val="0"/>
        <w:rPr>
          <w:rFonts w:eastAsia="仿宋"/>
          <w:b/>
          <w:spacing w:val="-4"/>
          <w:sz w:val="32"/>
          <w:szCs w:val="32"/>
        </w:rPr>
      </w:pPr>
      <w:r>
        <w:rPr>
          <w:rFonts w:eastAsia="仿宋"/>
          <w:b/>
          <w:spacing w:val="-4"/>
          <w:sz w:val="32"/>
          <w:szCs w:val="32"/>
        </w:rPr>
        <w:t>2.</w:t>
      </w:r>
      <w:r>
        <w:rPr>
          <w:rFonts w:hAnsi="仿宋" w:eastAsia="仿宋"/>
          <w:b/>
          <w:spacing w:val="-4"/>
          <w:sz w:val="32"/>
          <w:szCs w:val="32"/>
        </w:rPr>
        <w:t>积极组织谋划，推动天府科技云各项工作落地落实。</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一是明确年度目标。制定《2021年攀枝花市天府科技云工作推进方案》，明确年度目标和具体任务，切实推动天府科技云各项工作落实。二是形成工作机制。全年召开联席会议2次、联席会议办公会工作会议9次、工作情况通报12次，形成半月通报、每月调度、条块结合的工作机制，实时掌握工作进度、把握工作方向、督促工作落实。三是深入开展调研。深入市农科院、攀研院、川煤集团华荣能源攀枝花中心等30余家企事业单位，与科技工作者开展面对面座谈交流，收集工作建议4500余条，积极拓展天府科技云使用的广度和深度。四是全面开展培训。全年组织市县（区）两级部门、企事业单位、学会（协会）相关工作人员共计410人次参加平台应用培训，进一步打通科技服务“堵点”，畅通科技服务渠道。五是做好现场推介。组织参加四川省首届“科创中国·天府科技云服务大会”，举办4场专场推介会，115个项目参加推介活动，7个项目达成合作意向，举办2场签约仪式，5个项目现场签约，签约总金额2.8亿元，位居全省市州前列。</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截至2021年底，全市在天府科技云平台累计注册个人用户79968人、组织机构用户3819个；发布科技服务所能15817项、科技服务需求5605项、科技成果257项、科研项目需求141项；达成交易79项，成交金额约4.4亿元。</w:t>
      </w:r>
    </w:p>
    <w:p>
      <w:pPr>
        <w:spacing w:line="580" w:lineRule="exact"/>
        <w:ind w:firstLine="627" w:firstLineChars="200"/>
        <w:outlineLvl w:val="0"/>
        <w:rPr>
          <w:rFonts w:eastAsia="仿宋"/>
          <w:b/>
          <w:spacing w:val="-4"/>
          <w:sz w:val="32"/>
          <w:szCs w:val="32"/>
        </w:rPr>
      </w:pPr>
      <w:r>
        <w:rPr>
          <w:rFonts w:eastAsia="仿宋"/>
          <w:b/>
          <w:spacing w:val="-4"/>
          <w:sz w:val="32"/>
          <w:szCs w:val="32"/>
        </w:rPr>
        <w:t>3.</w:t>
      </w:r>
      <w:r>
        <w:rPr>
          <w:rFonts w:hAnsi="仿宋" w:eastAsia="仿宋"/>
          <w:b/>
          <w:spacing w:val="-4"/>
          <w:sz w:val="32"/>
          <w:szCs w:val="32"/>
        </w:rPr>
        <w:t>汇集智力资源，服务经济社会高质量发展。</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一是做好优秀科技论文评选。组织开展攀枝花市科协系统第十届优秀科技论文评选，共计征集到17个学会、协会科技论文485篇，评出优秀科技论文302篇，其中一等20篇、二等40篇、三等97篇、鼓励145篇。二是深入开展学术交流。围绕我市经济、社会、科技发展中的热点、难点问题开展高层次、多学科的学术交流，共组织开展学术交流291次，交流论文467篇，参加人员32226人次；举办学术报告会118场；组织外出参加学术活动1007次，交流论文近342篇；向2021年川渝科技学术大会暨四川科技学术大会推荐优秀论文20篇，提升我市学术知名度。三是规范院士（专家）工作站管理。修订完善攀枝花市院士（专家）工作站申报评审办法、考核办法、专项资金管理办法、实施办法，为院士（专家）工作站高质量运行提供制度保障；完成6家市级院士（专家）工作站重新评审确认工作，攀钢集团院士工作站被认定为省级院士工作站。四是助力创新发展。组织广大科技工作者深入开展“讲理想、比贡献”竞赛活动，各学会（协会）、企（事）业科协完成“讲、比”项目776项、“厂会协作”54项，技术服务100余项；为企事业发展提出合理化建议45403条，采纳24965项；指导各学会（协会）在企业开展调研，为企业发展提供思路举措。五是务实开展青少年科技教育。组织开展第18届四川省青少年机器人竞赛普及组决赛攀枝花分赛区比赛，全市1000名学生参加比赛，获省级一等奖13项、二等奖13项、三等奖11项，最佳创意奖7项、最佳思考奖17项；组织参加第十九届四川省青少年机器人竞赛提高组比赛，获一等奖6项、二等奖4项、三等奖3项；组织举办攀枝花市第36届青少年科技创新大赛，全市50余所中小学校推荐754件作品参加比赛，获省级一等奖4项、二等奖9项、三等奖21项。</w:t>
      </w:r>
    </w:p>
    <w:p>
      <w:pPr>
        <w:spacing w:line="580" w:lineRule="exact"/>
        <w:ind w:firstLine="627" w:firstLineChars="200"/>
        <w:outlineLvl w:val="0"/>
        <w:rPr>
          <w:rFonts w:eastAsia="仿宋"/>
          <w:b/>
          <w:spacing w:val="-4"/>
          <w:sz w:val="32"/>
          <w:szCs w:val="32"/>
        </w:rPr>
      </w:pPr>
      <w:r>
        <w:rPr>
          <w:rFonts w:eastAsia="仿宋"/>
          <w:b/>
          <w:spacing w:val="-4"/>
          <w:sz w:val="32"/>
          <w:szCs w:val="32"/>
        </w:rPr>
        <w:t>4.</w:t>
      </w:r>
      <w:r>
        <w:rPr>
          <w:rFonts w:hAnsi="仿宋" w:eastAsia="仿宋"/>
          <w:b/>
          <w:spacing w:val="-4"/>
          <w:sz w:val="32"/>
          <w:szCs w:val="32"/>
        </w:rPr>
        <w:t>加强科普教育，增强全市人民群众科学素养。</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一是广泛开展群众性科普活动。充分利用学会（协会）进行科普，全年累计举办专题科普宣传791次，举办科普展览414次，举办科普讲座289次；完成市科技馆搬迁，搬迁后，展厅面积达420平方米，展品63件（套），瞬时接待能力可达120人，日接待能力可达600人次，4月1日正式对外开放以来，全年接待参观人员达3.8万人次；举办科普大篷车七进活动16次，其中科普大篷车进校园科普宣传4次，2600人次师生参与互动体验；联合市科技局等单位举办以“百年回望：中国共产党领导科技发展”为主题的2021年科技活动周活动，牵头举办2021年攀枝花市“全国科普日”活动，联合市第三人民医院开展5场公益性“全国科普日心理健康”科普讲座。二是大力实施《全民科学素质行动计划纲要（2021—2035年）》。完成2020年度攀枝花市公民科学素质测评，2020年度我市具备基本科学素质的人口比例由2015年4.4%提升至9.3%，增长4.9个百分点，超“十三五”8%的既定目标1.3个百分点，位居全省前列；制定《2021年度全民科学素质工作考核细则》，组织开展对县（区）和相关市级部门2021年度全民科学素质年度目标绩效考评；完成《攀枝花市“十三五”全民科学素质工作概览》编制工作，全面回顾我市“十三五”《全民科学素质行动计划纲要》实施工作主要做法和取得的成绩。三是积极争取上级支持。2021年，市科协共争取中央、省科普专项资金376万元，较2020年度实现翻番。</w:t>
      </w:r>
    </w:p>
    <w:p>
      <w:pPr>
        <w:spacing w:line="580" w:lineRule="exact"/>
        <w:ind w:firstLine="627" w:firstLineChars="200"/>
        <w:outlineLvl w:val="0"/>
        <w:rPr>
          <w:rFonts w:eastAsia="仿宋"/>
          <w:b/>
          <w:spacing w:val="-4"/>
          <w:sz w:val="32"/>
          <w:szCs w:val="32"/>
        </w:rPr>
      </w:pPr>
      <w:r>
        <w:rPr>
          <w:rFonts w:eastAsia="仿宋"/>
          <w:b/>
          <w:spacing w:val="-4"/>
          <w:sz w:val="32"/>
          <w:szCs w:val="32"/>
        </w:rPr>
        <w:t>5.</w:t>
      </w:r>
      <w:r>
        <w:rPr>
          <w:rFonts w:hAnsi="仿宋" w:eastAsia="仿宋"/>
          <w:b/>
          <w:spacing w:val="-4"/>
          <w:sz w:val="32"/>
          <w:szCs w:val="32"/>
        </w:rPr>
        <w:t>履行保姆职责，联系服务广大科技工作者。</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一是组织召开攀枝花“全国科技工作者日”大会。以“学党史、聚人才、兴未来”为主题，召集市直相关部门、县区、企事业单位代表、优秀科技工作者、市级学会（协会）、企事业科协代表等120余人参加大会，学习先进事迹，弘扬创新精神，在广大科技工作者中形成热烈反响。二是加强人才举荐。分别推荐13名和3名优秀科技工作者参加“四川百年百杰科学家”和四川省2021年“最美科技工作者”评选，常隆庆入选“四川百年百杰科学家”，邹明当选“最美科技工作者”；推选2名科技工作者代表和科协工作者代表参加中国科协第十次全国代表大会，韩振宇当选中国科协第十届全国委员会委员。三是关心关爱科技工作者。2021年春节走访慰问10名科技工作者代表，了解科技工作者所需所盼，协助解决实际困难问题；“七一”前夕，走访慰问15名老党员、老干部、困难党员、优秀党员科技工作者代表，送去党的温暖和关怀。四是加强学会（协会）组织建设。按照相关要求，组织所属学会（协会）全面开展自查自纠，进一步规范学会（协会）内部治理结构，督促学会（协会）修改完善章程，强化对学会（协会）的政治引领；完成对科协下属学会的年度检查工作;完成所属学会（协会）、企事业科协补助；指导市老科协、预防医学会、建筑学会完成换届改选工作，联合市委老干局等部门，全力推动县（区）老科协组织建设。五是积极开展学会（协会）调研。向科技工作者发放调查问卷150余份，深入学会（协会）、企事业科协开展座谈交流3次，形成《加强新形势下我市学会（协会）建设的思考》呈报市委市政府。</w:t>
      </w:r>
    </w:p>
    <w:p>
      <w:pPr>
        <w:spacing w:line="580" w:lineRule="exact"/>
        <w:ind w:firstLine="627" w:firstLineChars="200"/>
        <w:outlineLvl w:val="0"/>
        <w:rPr>
          <w:rFonts w:eastAsia="仿宋"/>
          <w:b/>
          <w:spacing w:val="-4"/>
          <w:sz w:val="32"/>
          <w:szCs w:val="32"/>
        </w:rPr>
      </w:pPr>
      <w:r>
        <w:rPr>
          <w:rFonts w:eastAsia="仿宋"/>
          <w:b/>
          <w:spacing w:val="-4"/>
          <w:sz w:val="32"/>
          <w:szCs w:val="32"/>
        </w:rPr>
        <w:t>6.</w:t>
      </w:r>
      <w:r>
        <w:rPr>
          <w:rFonts w:hAnsi="仿宋" w:eastAsia="仿宋"/>
          <w:b/>
          <w:spacing w:val="-4"/>
          <w:sz w:val="32"/>
          <w:szCs w:val="32"/>
        </w:rPr>
        <w:t>实施科技帮扶，服务乡村振兴战略实施。</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一是举办乡土人才创新创业大赛。成功举办攀枝花市第五届农村乡土人才创新创业大赛，推荐3名选手参加省级大赛，1人获金奖、最佳人气奖、巴山牧业创新奖，1人获铜奖和最受欢迎成果奖，1人获乡村振兴贡献奖。二是开展乡村振兴调研。调研盐边县惠民乡银河村乡村振兴情况，出资3.5万元，目前正在编制《攀枝花市盐边县惠民乡银河村村集体产业发展规划》。三是深入实施科技帮扶。全年共组织各类专家6735人（次）深入贫困乡村开展扶贫活动287次。市农林院科协建立专家视频群，方便更多部门在扶贫工作中为农民提供技术服务，让专家的作用发挥到最大化；市老科协送科技下乡，为芒果种植、猕猴桃产业基地建设把脉支招；市林学会组织营林、果树、森保等专家组，深入贫困山区“传经送宝”，把最实用的林业技术送到群众手中；市烟草学会组织会员深入一区两县试点建立循环经营产业链，促进烟农增收。</w:t>
      </w:r>
    </w:p>
    <w:p>
      <w:pPr>
        <w:spacing w:line="580" w:lineRule="exact"/>
        <w:ind w:firstLine="627" w:firstLineChars="200"/>
        <w:outlineLvl w:val="0"/>
        <w:rPr>
          <w:rFonts w:eastAsia="仿宋"/>
          <w:b/>
          <w:spacing w:val="-4"/>
          <w:sz w:val="32"/>
          <w:szCs w:val="32"/>
        </w:rPr>
      </w:pPr>
      <w:r>
        <w:rPr>
          <w:rFonts w:eastAsia="仿宋"/>
          <w:b/>
          <w:spacing w:val="-4"/>
          <w:sz w:val="32"/>
          <w:szCs w:val="32"/>
        </w:rPr>
        <w:t>7.</w:t>
      </w:r>
      <w:r>
        <w:rPr>
          <w:rFonts w:hAnsi="仿宋" w:eastAsia="仿宋"/>
          <w:b/>
          <w:spacing w:val="-4"/>
          <w:sz w:val="32"/>
          <w:szCs w:val="32"/>
        </w:rPr>
        <w:t>积极主动作为，推进市委战略部署有效实施。</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一是为打造区域中心城市出力。围绕加快建设现代化区域中心城市的目标，深入省科协、成都市科协、绵阳市科协、德阳市科协等市（州）科协学习调研，形成《关于创建“科创中国”试点城市的请示》和《攀枝花钒钛科技馆建设初步思路》呈报市政府，得到有关领导充分肯定，相关工作正在有序推进。二是做好“外圈”联系工作。主动与成都、绵阳、德阳等市州沟通联系，共同探讨城市建设发展方向，借鉴成果经验，共谋协同发展；与成都市科协签订战略合作协议，为后续合作奠定基础。三是增强“内圈”发展实力。切实为人民群众服务，组织全体干部职工分5批次到市科技馆，为1500余名到馆参观群众提供科普知识讲解、文明礼貌引导志愿服务；依托“天府科技云”平台，促进科技成果有效转化61个；大力做好科普宣传活动，提升人民群众科学素养；指导市老科协认真筹备云贵川渝“三省一市”老科协第三届“金沙江论坛”，进一步夯实“内圈”发展软实力。</w:t>
      </w:r>
    </w:p>
    <w:p>
      <w:pPr>
        <w:pStyle w:val="4"/>
        <w:spacing w:before="0" w:after="0" w:line="580" w:lineRule="exact"/>
        <w:ind w:firstLine="624" w:firstLineChars="200"/>
        <w:rPr>
          <w:rStyle w:val="26"/>
          <w:rFonts w:ascii="Times New Roman" w:hAnsi="Times New Roman" w:cs="Times New Roman"/>
          <w:b w:val="0"/>
          <w:bCs w:val="0"/>
          <w:spacing w:val="-4"/>
        </w:rPr>
      </w:pPr>
      <w:r>
        <w:rPr>
          <w:rFonts w:ascii="Times New Roman" w:hAnsi="Times New Roman" w:eastAsia="黑体" w:cs="Times New Roman"/>
          <w:b w:val="0"/>
          <w:spacing w:val="-4"/>
        </w:rPr>
        <w:t>二、</w:t>
      </w:r>
      <w:r>
        <w:rPr>
          <w:rFonts w:ascii="Times New Roman" w:hAnsi="黑体" w:eastAsia="黑体" w:cs="Times New Roman"/>
          <w:b w:val="0"/>
          <w:spacing w:val="-4"/>
        </w:rPr>
        <w:t>机</w:t>
      </w:r>
      <w:r>
        <w:rPr>
          <w:rStyle w:val="26"/>
          <w:rFonts w:ascii="Times New Roman" w:hAnsi="黑体" w:eastAsia="黑体" w:cs="Times New Roman"/>
          <w:b w:val="0"/>
          <w:bCs w:val="0"/>
          <w:spacing w:val="-4"/>
        </w:rPr>
        <w:t>构设置</w:t>
      </w:r>
      <w:bookmarkEnd w:id="20"/>
      <w:bookmarkEnd w:id="21"/>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市科协下属二级单位2个，其中行政单位0个，参照公务员法管理的事业单位0个，其他事业单位2个。</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纳入市科协2021年度部门决算编制范围的二级预算单位包括：</w:t>
      </w:r>
      <w:bookmarkStart w:id="22" w:name="_Toc15377201"/>
      <w:bookmarkStart w:id="23" w:name="_Toc15306275"/>
      <w:bookmarkStart w:id="24" w:name="_Toc15377432"/>
      <w:bookmarkStart w:id="25" w:name="_Toc15378448"/>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1.攀枝花市院士专家服务中心（攀枝花市科技创新转化服务中心）</w:t>
      </w:r>
      <w:bookmarkEnd w:id="22"/>
      <w:bookmarkEnd w:id="23"/>
      <w:bookmarkEnd w:id="24"/>
      <w:bookmarkEnd w:id="25"/>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2.攀枝花市科技馆（攀枝花市青少年科技教育活动中心）</w:t>
      </w:r>
    </w:p>
    <w:p>
      <w:pPr>
        <w:spacing w:line="580" w:lineRule="exact"/>
        <w:ind w:firstLine="624" w:firstLineChars="200"/>
        <w:rPr>
          <w:rFonts w:ascii="方正仿宋_GBK" w:hAnsi="方正仿宋_GBK" w:eastAsia="方正仿宋_GBK"/>
          <w:spacing w:val="-4"/>
          <w:sz w:val="32"/>
          <w:szCs w:val="32"/>
        </w:rPr>
      </w:pPr>
      <w:r>
        <w:rPr>
          <w:rFonts w:ascii="方正仿宋_GBK" w:hAnsi="方正仿宋_GBK" w:eastAsia="方正仿宋_GBK"/>
          <w:spacing w:val="-4"/>
          <w:sz w:val="32"/>
          <w:szCs w:val="32"/>
        </w:rPr>
        <w:t>以上两个单位均为市科协直属公益一类事业单位。市科协直属事业单位为独立法人，但因人员较少，财务并未独立核算。2021年市科协机关与事业单位合并执行《政府会计制度》，人员经费、公用经费、项目经费均统一按照财政预算分科目核算，并作为单户上报决算。</w:t>
      </w:r>
    </w:p>
    <w:p>
      <w:pPr>
        <w:pStyle w:val="2"/>
        <w:adjustRightInd w:val="0"/>
        <w:snapToGrid w:val="0"/>
        <w:spacing w:before="93" w:line="580" w:lineRule="exact"/>
        <w:ind w:firstLine="672" w:firstLineChars="210"/>
        <w:rPr>
          <w:rFonts w:ascii="Times New Roman" w:eastAsia="仿宋"/>
          <w:sz w:val="32"/>
          <w:szCs w:val="32"/>
        </w:rPr>
      </w:pPr>
      <w:r>
        <w:rPr>
          <w:rFonts w:ascii="Times New Roman" w:eastAsia="仿宋"/>
          <w:sz w:val="32"/>
          <w:szCs w:val="32"/>
        </w:rPr>
        <w:br w:type="page"/>
      </w:r>
    </w:p>
    <w:p>
      <w:pPr>
        <w:pStyle w:val="3"/>
        <w:ind w:right="440"/>
        <w:jc w:val="center"/>
        <w:rPr>
          <w:rFonts w:eastAsia="黑体"/>
          <w:b w:val="0"/>
        </w:rPr>
      </w:pPr>
      <w:bookmarkStart w:id="26" w:name="_Toc15377204"/>
      <w:bookmarkStart w:id="27" w:name="_Toc15396602"/>
      <w:r>
        <w:rPr>
          <w:rFonts w:hAnsi="黑体" w:eastAsia="黑体"/>
          <w:b w:val="0"/>
        </w:rPr>
        <w:t>第二部分</w:t>
      </w:r>
      <w:r>
        <w:rPr>
          <w:rFonts w:eastAsia="黑体"/>
          <w:b w:val="0"/>
        </w:rPr>
        <w:t>2021</w:t>
      </w:r>
      <w:r>
        <w:rPr>
          <w:rFonts w:hAnsi="黑体" w:eastAsia="黑体"/>
          <w:b w:val="0"/>
        </w:rPr>
        <w:t>年度</w:t>
      </w:r>
      <w:r>
        <w:rPr>
          <w:rStyle w:val="25"/>
          <w:rFonts w:hAnsi="黑体" w:eastAsia="黑体"/>
          <w:b w:val="0"/>
          <w:bCs/>
        </w:rPr>
        <w:t>部门决算情况说明</w:t>
      </w:r>
      <w:bookmarkEnd w:id="26"/>
      <w:bookmarkEnd w:id="27"/>
    </w:p>
    <w:p>
      <w:pPr>
        <w:pStyle w:val="24"/>
        <w:numPr>
          <w:ilvl w:val="0"/>
          <w:numId w:val="1"/>
        </w:numPr>
        <w:spacing w:line="580" w:lineRule="exact"/>
        <w:ind w:firstLineChars="0"/>
        <w:outlineLvl w:val="1"/>
        <w:rPr>
          <w:rStyle w:val="26"/>
          <w:rFonts w:ascii="Times New Roman" w:hAnsi="Times New Roman" w:eastAsia="黑体" w:cs="Times New Roman"/>
          <w:b w:val="0"/>
        </w:rPr>
      </w:pPr>
      <w:bookmarkStart w:id="28" w:name="_Toc15377205"/>
      <w:bookmarkStart w:id="29" w:name="_Toc15396603"/>
      <w:r>
        <w:rPr>
          <w:rFonts w:hAnsi="黑体" w:eastAsia="黑体"/>
          <w:sz w:val="32"/>
          <w:szCs w:val="32"/>
        </w:rPr>
        <w:t>收</w:t>
      </w:r>
      <w:r>
        <w:rPr>
          <w:rStyle w:val="26"/>
          <w:rFonts w:ascii="Times New Roman" w:hAnsi="黑体" w:eastAsia="黑体" w:cs="Times New Roman"/>
          <w:b w:val="0"/>
        </w:rPr>
        <w:t>入支出决算总体情况说明</w:t>
      </w:r>
      <w:bookmarkEnd w:id="28"/>
      <w:bookmarkEnd w:id="29"/>
    </w:p>
    <w:p>
      <w:pPr>
        <w:spacing w:line="580" w:lineRule="exact"/>
        <w:ind w:firstLine="640" w:firstLineChars="200"/>
        <w:rPr>
          <w:rFonts w:ascii="方正仿宋_GBK" w:hAnsi="方正仿宋_GBK" w:eastAsia="方正仿宋_GBK"/>
          <w:sz w:val="32"/>
          <w:szCs w:val="32"/>
        </w:rPr>
      </w:pPr>
      <w:r>
        <w:rPr>
          <w:rFonts w:ascii="方正仿宋_GBK" w:hAnsi="方正仿宋_GBK" w:eastAsia="方正仿宋_GBK"/>
          <w:sz w:val="32"/>
          <w:szCs w:val="32"/>
        </w:rPr>
        <w:t>2021年度收、支总计624万元。与2020年相比，收、支总计各减少116.93万元，下降15.78%。主要变动原因是</w:t>
      </w:r>
      <w:r>
        <w:rPr>
          <w:rFonts w:hint="eastAsia" w:ascii="方正仿宋_GBK" w:hAnsi="方正仿宋_GBK" w:eastAsia="方正仿宋_GBK"/>
          <w:sz w:val="32"/>
          <w:szCs w:val="32"/>
          <w:lang w:eastAsia="zh-CN"/>
        </w:rPr>
        <w:t>单位加强管理，厉行节约，项目减少，经费减少</w:t>
      </w:r>
      <w:r>
        <w:rPr>
          <w:rFonts w:ascii="方正仿宋_GBK" w:hAnsi="方正仿宋_GBK" w:eastAsia="方正仿宋_GBK"/>
          <w:sz w:val="32"/>
          <w:szCs w:val="32"/>
        </w:rPr>
        <w:t>。</w:t>
      </w:r>
    </w:p>
    <w:p>
      <w:pPr>
        <w:pStyle w:val="2"/>
        <w:spacing w:before="93"/>
        <w:jc w:val="center"/>
        <w:rPr>
          <w:rFonts w:ascii="Times New Roman"/>
        </w:rPr>
      </w:pPr>
      <w:r>
        <w:rPr>
          <w:rFonts w:ascii="Times New Roman"/>
        </w:rPr>
        <w:drawing>
          <wp:inline distT="0" distB="0" distL="0" distR="0">
            <wp:extent cx="4980940" cy="2133600"/>
            <wp:effectExtent l="19050" t="0" r="9782"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1"/>
        </w:numPr>
        <w:spacing w:line="580" w:lineRule="exact"/>
        <w:ind w:firstLineChars="0"/>
        <w:outlineLvl w:val="1"/>
        <w:rPr>
          <w:rStyle w:val="26"/>
          <w:rFonts w:ascii="Times New Roman" w:hAnsi="Times New Roman" w:eastAsia="黑体" w:cs="Times New Roman"/>
          <w:b w:val="0"/>
        </w:rPr>
      </w:pPr>
      <w:bookmarkStart w:id="30" w:name="_Toc15377206"/>
      <w:bookmarkStart w:id="31" w:name="_Toc15396604"/>
      <w:r>
        <w:rPr>
          <w:rFonts w:hAnsi="黑体" w:eastAsia="黑体"/>
          <w:sz w:val="32"/>
          <w:szCs w:val="32"/>
        </w:rPr>
        <w:t>收</w:t>
      </w:r>
      <w:r>
        <w:rPr>
          <w:rStyle w:val="26"/>
          <w:rFonts w:ascii="Times New Roman" w:hAnsi="黑体" w:eastAsia="黑体" w:cs="Times New Roman"/>
          <w:b w:val="0"/>
        </w:rPr>
        <w:t>入决算情况说明</w:t>
      </w:r>
      <w:bookmarkEnd w:id="30"/>
      <w:bookmarkEnd w:id="31"/>
    </w:p>
    <w:p>
      <w:pPr>
        <w:spacing w:line="600" w:lineRule="exact"/>
        <w:ind w:firstLine="640" w:firstLineChars="200"/>
        <w:outlineLvl w:val="1"/>
        <w:rPr>
          <w:rFonts w:ascii="方正仿宋_GBK" w:hAnsi="方正仿宋_GBK" w:eastAsia="方正仿宋_GBK"/>
          <w:sz w:val="32"/>
          <w:szCs w:val="32"/>
        </w:rPr>
      </w:pPr>
      <w:r>
        <w:rPr>
          <w:rFonts w:ascii="方正仿宋_GBK" w:hAnsi="方正仿宋_GBK" w:eastAsia="方正仿宋_GBK"/>
          <w:sz w:val="32"/>
          <w:szCs w:val="32"/>
        </w:rPr>
        <w:t>2021年本年收入合计617.86万元，其中：一般公共预算财政拨款收入616.78万元，占99.83%；政府性基金预算财政拨款收入1.08万元，占0.17%</w:t>
      </w:r>
      <w:r>
        <w:rPr>
          <w:rFonts w:hint="eastAsia" w:ascii="仿宋" w:hAnsi="仿宋" w:eastAsia="仿宋"/>
          <w:sz w:val="32"/>
          <w:szCs w:val="32"/>
        </w:rPr>
        <w:t>；</w:t>
      </w:r>
      <w:r>
        <w:rPr>
          <w:rFonts w:hint="eastAsia" w:ascii="方正仿宋_GBK" w:hAnsi="方正仿宋_GBK" w:eastAsia="方正仿宋_GBK"/>
          <w:sz w:val="32"/>
          <w:szCs w:val="32"/>
        </w:rPr>
        <w:t>国有资本经营预算财政拨款收入</w:t>
      </w:r>
      <w:r>
        <w:rPr>
          <w:rFonts w:hint="eastAsia" w:ascii="方正仿宋_GBK" w:hAnsi="方正仿宋_GBK" w:eastAsia="方正仿宋_GBK"/>
          <w:sz w:val="32"/>
          <w:szCs w:val="32"/>
          <w:lang w:val="en-US" w:eastAsia="zh-CN"/>
        </w:rPr>
        <w:t>0</w:t>
      </w:r>
      <w:r>
        <w:rPr>
          <w:rFonts w:hint="eastAsia" w:ascii="方正仿宋_GBK" w:hAnsi="方正仿宋_GBK" w:eastAsia="方正仿宋_GBK"/>
          <w:sz w:val="32"/>
          <w:szCs w:val="32"/>
        </w:rPr>
        <w:t>万元；上级补助收入</w:t>
      </w:r>
      <w:r>
        <w:rPr>
          <w:rFonts w:hint="eastAsia" w:ascii="方正仿宋_GBK" w:hAnsi="方正仿宋_GBK" w:eastAsia="方正仿宋_GBK"/>
          <w:sz w:val="32"/>
          <w:szCs w:val="32"/>
          <w:lang w:val="en-US" w:eastAsia="zh-CN"/>
        </w:rPr>
        <w:t>0</w:t>
      </w:r>
      <w:r>
        <w:rPr>
          <w:rFonts w:hint="eastAsia" w:ascii="方正仿宋_GBK" w:hAnsi="方正仿宋_GBK" w:eastAsia="方正仿宋_GBK"/>
          <w:sz w:val="32"/>
          <w:szCs w:val="32"/>
        </w:rPr>
        <w:t>万元；事业收入</w:t>
      </w:r>
      <w:r>
        <w:rPr>
          <w:rFonts w:hint="eastAsia" w:ascii="方正仿宋_GBK" w:hAnsi="方正仿宋_GBK" w:eastAsia="方正仿宋_GBK"/>
          <w:sz w:val="32"/>
          <w:szCs w:val="32"/>
          <w:lang w:val="en-US" w:eastAsia="zh-CN"/>
        </w:rPr>
        <w:t>0</w:t>
      </w:r>
      <w:r>
        <w:rPr>
          <w:rFonts w:hint="eastAsia" w:ascii="方正仿宋_GBK" w:hAnsi="方正仿宋_GBK" w:eastAsia="方正仿宋_GBK"/>
          <w:sz w:val="32"/>
          <w:szCs w:val="32"/>
        </w:rPr>
        <w:t>万元；经营收入</w:t>
      </w:r>
      <w:r>
        <w:rPr>
          <w:rFonts w:hint="eastAsia" w:ascii="方正仿宋_GBK" w:hAnsi="方正仿宋_GBK" w:eastAsia="方正仿宋_GBK"/>
          <w:sz w:val="32"/>
          <w:szCs w:val="32"/>
          <w:lang w:val="en-US" w:eastAsia="zh-CN"/>
        </w:rPr>
        <w:t>0</w:t>
      </w:r>
      <w:r>
        <w:rPr>
          <w:rFonts w:hint="eastAsia" w:ascii="方正仿宋_GBK" w:hAnsi="方正仿宋_GBK" w:eastAsia="方正仿宋_GBK"/>
          <w:sz w:val="32"/>
          <w:szCs w:val="32"/>
        </w:rPr>
        <w:t>万元；附属单位上缴收入</w:t>
      </w:r>
      <w:r>
        <w:rPr>
          <w:rFonts w:hint="eastAsia" w:ascii="方正仿宋_GBK" w:hAnsi="方正仿宋_GBK" w:eastAsia="方正仿宋_GBK"/>
          <w:sz w:val="32"/>
          <w:szCs w:val="32"/>
          <w:lang w:val="en-US" w:eastAsia="zh-CN"/>
        </w:rPr>
        <w:t>0</w:t>
      </w:r>
      <w:r>
        <w:rPr>
          <w:rFonts w:hint="eastAsia" w:ascii="方正仿宋_GBK" w:hAnsi="方正仿宋_GBK" w:eastAsia="方正仿宋_GBK"/>
          <w:sz w:val="32"/>
          <w:szCs w:val="32"/>
        </w:rPr>
        <w:t>万元；其他收入</w:t>
      </w:r>
      <w:r>
        <w:rPr>
          <w:rFonts w:hint="eastAsia" w:ascii="方正仿宋_GBK" w:hAnsi="方正仿宋_GBK" w:eastAsia="方正仿宋_GBK"/>
          <w:sz w:val="32"/>
          <w:szCs w:val="32"/>
          <w:lang w:val="en-US" w:eastAsia="zh-CN"/>
        </w:rPr>
        <w:t>0</w:t>
      </w:r>
      <w:r>
        <w:rPr>
          <w:rFonts w:hint="eastAsia" w:ascii="方正仿宋_GBK" w:hAnsi="方正仿宋_GBK" w:eastAsia="方正仿宋_GBK"/>
          <w:sz w:val="32"/>
          <w:szCs w:val="32"/>
        </w:rPr>
        <w:t>万元。</w:t>
      </w:r>
    </w:p>
    <w:p>
      <w:pPr>
        <w:spacing w:line="580" w:lineRule="exact"/>
        <w:ind w:firstLine="640" w:firstLineChars="200"/>
        <w:outlineLvl w:val="1"/>
        <w:rPr>
          <w:rFonts w:ascii="方正仿宋_GBK" w:hAnsi="方正仿宋_GBK" w:eastAsia="方正仿宋_GBK"/>
          <w:sz w:val="32"/>
          <w:szCs w:val="32"/>
        </w:rPr>
      </w:pPr>
    </w:p>
    <w:p>
      <w:pPr>
        <w:pStyle w:val="2"/>
        <w:spacing w:before="93"/>
        <w:jc w:val="center"/>
        <w:rPr>
          <w:rFonts w:ascii="Times New Roman"/>
        </w:rPr>
      </w:pPr>
      <w:r>
        <w:rPr>
          <w:rFonts w:ascii="Times New Roman" w:eastAsia="仿宋"/>
          <w:b/>
          <w:sz w:val="32"/>
          <w:szCs w:val="32"/>
        </w:rPr>
        <w:drawing>
          <wp:inline distT="0" distB="0" distL="0" distR="0">
            <wp:extent cx="4293235" cy="2141220"/>
            <wp:effectExtent l="19050" t="0" r="11550" b="0"/>
            <wp:docPr id="1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numPr>
          <w:ilvl w:val="0"/>
          <w:numId w:val="1"/>
        </w:numPr>
        <w:spacing w:line="580" w:lineRule="exact"/>
        <w:ind w:firstLineChars="0"/>
        <w:outlineLvl w:val="1"/>
        <w:rPr>
          <w:rStyle w:val="26"/>
          <w:rFonts w:ascii="Times New Roman" w:hAnsi="Times New Roman" w:eastAsia="黑体" w:cs="Times New Roman"/>
          <w:b w:val="0"/>
        </w:rPr>
      </w:pPr>
      <w:bookmarkStart w:id="32" w:name="_Toc15396605"/>
      <w:bookmarkStart w:id="33" w:name="_Toc15377207"/>
      <w:r>
        <w:rPr>
          <w:rFonts w:hAnsi="黑体" w:eastAsia="黑体"/>
          <w:sz w:val="32"/>
          <w:szCs w:val="32"/>
        </w:rPr>
        <w:t>支</w:t>
      </w:r>
      <w:r>
        <w:rPr>
          <w:rStyle w:val="26"/>
          <w:rFonts w:ascii="Times New Roman" w:hAnsi="黑体" w:eastAsia="黑体" w:cs="Times New Roman"/>
          <w:b w:val="0"/>
        </w:rPr>
        <w:t>出决算情况说明</w:t>
      </w:r>
      <w:bookmarkEnd w:id="32"/>
      <w:bookmarkEnd w:id="33"/>
    </w:p>
    <w:p>
      <w:pPr>
        <w:spacing w:line="600" w:lineRule="exact"/>
        <w:ind w:firstLine="640" w:firstLineChars="200"/>
        <w:outlineLvl w:val="1"/>
        <w:rPr>
          <w:rFonts w:ascii="方正仿宋_GBK" w:hAnsi="方正仿宋_GBK" w:eastAsia="方正仿宋_GBK"/>
          <w:sz w:val="32"/>
          <w:szCs w:val="32"/>
        </w:rPr>
      </w:pPr>
      <w:r>
        <w:rPr>
          <w:rFonts w:ascii="方正仿宋_GBK" w:hAnsi="方正仿宋_GBK" w:eastAsia="方正仿宋_GBK"/>
          <w:sz w:val="32"/>
          <w:szCs w:val="32"/>
        </w:rPr>
        <w:t>2021年本年支出合计624.00万元，其中：基本支出537.95万元，占87%；项目支出86.05万元，占13%。</w:t>
      </w:r>
      <w:r>
        <w:rPr>
          <w:rFonts w:hint="eastAsia" w:ascii="方正仿宋_GBK" w:hAnsi="方正仿宋_GBK" w:eastAsia="方正仿宋_GBK"/>
          <w:sz w:val="32"/>
          <w:szCs w:val="32"/>
        </w:rPr>
        <w:t>上缴上级支出</w:t>
      </w:r>
      <w:r>
        <w:rPr>
          <w:rFonts w:hint="eastAsia" w:ascii="方正仿宋_GBK" w:hAnsi="方正仿宋_GBK" w:eastAsia="方正仿宋_GBK"/>
          <w:sz w:val="32"/>
          <w:szCs w:val="32"/>
          <w:lang w:val="en-US" w:eastAsia="zh-CN"/>
        </w:rPr>
        <w:t>0</w:t>
      </w:r>
      <w:r>
        <w:rPr>
          <w:rFonts w:hint="eastAsia" w:ascii="方正仿宋_GBK" w:hAnsi="方正仿宋_GBK" w:eastAsia="方正仿宋_GBK"/>
          <w:sz w:val="32"/>
          <w:szCs w:val="32"/>
        </w:rPr>
        <w:t>万元；经营支出</w:t>
      </w:r>
      <w:r>
        <w:rPr>
          <w:rFonts w:hint="eastAsia" w:ascii="方正仿宋_GBK" w:hAnsi="方正仿宋_GBK" w:eastAsia="方正仿宋_GBK"/>
          <w:sz w:val="32"/>
          <w:szCs w:val="32"/>
          <w:lang w:val="en-US" w:eastAsia="zh-CN"/>
        </w:rPr>
        <w:t>0</w:t>
      </w:r>
      <w:r>
        <w:rPr>
          <w:rFonts w:hint="eastAsia" w:ascii="方正仿宋_GBK" w:hAnsi="方正仿宋_GBK" w:eastAsia="方正仿宋_GBK"/>
          <w:sz w:val="32"/>
          <w:szCs w:val="32"/>
        </w:rPr>
        <w:t>万元；对附属单位补助支出</w:t>
      </w:r>
      <w:r>
        <w:rPr>
          <w:rFonts w:hint="eastAsia" w:ascii="方正仿宋_GBK" w:hAnsi="方正仿宋_GBK" w:eastAsia="方正仿宋_GBK"/>
          <w:sz w:val="32"/>
          <w:szCs w:val="32"/>
          <w:lang w:val="en-US" w:eastAsia="zh-CN"/>
        </w:rPr>
        <w:t>0</w:t>
      </w:r>
      <w:r>
        <w:rPr>
          <w:rFonts w:hint="eastAsia" w:ascii="方正仿宋_GBK" w:hAnsi="方正仿宋_GBK" w:eastAsia="方正仿宋_GBK"/>
          <w:sz w:val="32"/>
          <w:szCs w:val="32"/>
        </w:rPr>
        <w:t>万元。</w:t>
      </w:r>
    </w:p>
    <w:p>
      <w:pPr>
        <w:pStyle w:val="2"/>
        <w:spacing w:before="93"/>
        <w:jc w:val="center"/>
        <w:rPr>
          <w:rFonts w:ascii="Times New Roman"/>
        </w:rPr>
      </w:pPr>
      <w:r>
        <w:rPr>
          <w:rFonts w:ascii="Times New Roman"/>
        </w:rPr>
        <w:drawing>
          <wp:inline distT="0" distB="0" distL="0" distR="0">
            <wp:extent cx="4173855" cy="2256790"/>
            <wp:effectExtent l="19050" t="0" r="16990" b="0"/>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580" w:lineRule="exact"/>
        <w:ind w:firstLine="640" w:firstLineChars="200"/>
        <w:outlineLvl w:val="1"/>
        <w:rPr>
          <w:rStyle w:val="26"/>
          <w:rFonts w:ascii="Times New Roman" w:hAnsi="Times New Roman" w:eastAsia="黑体" w:cs="Times New Roman"/>
          <w:b w:val="0"/>
        </w:rPr>
      </w:pPr>
      <w:bookmarkStart w:id="34" w:name="_Toc15396606"/>
      <w:bookmarkStart w:id="35" w:name="_Toc15377208"/>
      <w:r>
        <w:rPr>
          <w:rFonts w:hAnsi="黑体" w:eastAsia="黑体"/>
          <w:sz w:val="32"/>
          <w:szCs w:val="32"/>
        </w:rPr>
        <w:t>四、财</w:t>
      </w:r>
      <w:r>
        <w:rPr>
          <w:rStyle w:val="26"/>
          <w:rFonts w:ascii="Times New Roman" w:hAnsi="黑体" w:eastAsia="黑体" w:cs="Times New Roman"/>
          <w:b w:val="0"/>
        </w:rPr>
        <w:t>政拨款收入支出决算总体情况说明</w:t>
      </w:r>
      <w:bookmarkEnd w:id="34"/>
      <w:bookmarkEnd w:id="35"/>
    </w:p>
    <w:p>
      <w:pPr>
        <w:spacing w:line="580" w:lineRule="exact"/>
        <w:ind w:firstLine="640" w:firstLineChars="200"/>
        <w:outlineLvl w:val="1"/>
        <w:rPr>
          <w:rFonts w:ascii="方正仿宋_GBK" w:hAnsi="方正仿宋_GBK" w:eastAsia="方正仿宋_GBK"/>
          <w:sz w:val="32"/>
          <w:szCs w:val="32"/>
        </w:rPr>
      </w:pPr>
      <w:r>
        <w:rPr>
          <w:rFonts w:ascii="方正仿宋_GBK" w:hAnsi="方正仿宋_GBK" w:eastAsia="方正仿宋_GBK"/>
          <w:sz w:val="32"/>
          <w:szCs w:val="32"/>
        </w:rPr>
        <w:t>2021年财政拨款收、支总计624万元。与2020年相比，财政拨款收、支总计各减少116.89万元，下降15.78%。主要变动原因是</w:t>
      </w:r>
      <w:r>
        <w:rPr>
          <w:rFonts w:hint="eastAsia" w:ascii="方正仿宋_GBK" w:hAnsi="方正仿宋_GBK" w:eastAsia="方正仿宋_GBK"/>
          <w:sz w:val="32"/>
          <w:szCs w:val="32"/>
          <w:lang w:eastAsia="zh-CN"/>
        </w:rPr>
        <w:t>单位加强管理，厉行节约，项目减少，经费减少</w:t>
      </w:r>
      <w:r>
        <w:rPr>
          <w:rFonts w:ascii="方正仿宋_GBK" w:hAnsi="方正仿宋_GBK" w:eastAsia="方正仿宋_GBK"/>
          <w:sz w:val="32"/>
          <w:szCs w:val="32"/>
        </w:rPr>
        <w:t>。</w:t>
      </w:r>
    </w:p>
    <w:p>
      <w:pPr>
        <w:pStyle w:val="2"/>
        <w:spacing w:before="93"/>
        <w:jc w:val="center"/>
        <w:rPr>
          <w:rFonts w:ascii="Times New Roman"/>
        </w:rPr>
      </w:pPr>
      <w:r>
        <w:rPr>
          <w:rFonts w:ascii="Times New Roman"/>
        </w:rPr>
        <w:drawing>
          <wp:inline distT="0" distB="0" distL="0" distR="0">
            <wp:extent cx="4173855" cy="2808605"/>
            <wp:effectExtent l="19050" t="0" r="16990" b="0"/>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6"/>
          <w:rFonts w:ascii="Times New Roman" w:hAnsi="Times New Roman" w:eastAsia="黑体" w:cs="Times New Roman"/>
          <w:b w:val="0"/>
        </w:rPr>
      </w:pPr>
      <w:bookmarkStart w:id="36" w:name="_Toc15377209"/>
      <w:bookmarkStart w:id="37" w:name="_Toc15396607"/>
      <w:r>
        <w:rPr>
          <w:rFonts w:hAnsi="黑体" w:eastAsia="黑体"/>
          <w:sz w:val="32"/>
          <w:szCs w:val="32"/>
        </w:rPr>
        <w:t>五、</w:t>
      </w:r>
      <w:r>
        <w:rPr>
          <w:rFonts w:hAnsi="黑体" w:eastAsia="黑体"/>
          <w:b/>
          <w:sz w:val="32"/>
          <w:szCs w:val="32"/>
        </w:rPr>
        <w:t>一</w:t>
      </w:r>
      <w:r>
        <w:rPr>
          <w:rStyle w:val="26"/>
          <w:rFonts w:ascii="Times New Roman" w:hAnsi="黑体" w:eastAsia="黑体" w:cs="Times New Roman"/>
          <w:b w:val="0"/>
        </w:rPr>
        <w:t>般公共预算财政拨款支出决算情况说明</w:t>
      </w:r>
      <w:bookmarkEnd w:id="36"/>
      <w:bookmarkEnd w:id="37"/>
    </w:p>
    <w:p>
      <w:pPr>
        <w:spacing w:line="600" w:lineRule="exact"/>
        <w:ind w:firstLine="643" w:firstLineChars="200"/>
        <w:outlineLvl w:val="2"/>
        <w:rPr>
          <w:rFonts w:eastAsia="仿宋"/>
          <w:b/>
          <w:sz w:val="32"/>
          <w:szCs w:val="32"/>
        </w:rPr>
      </w:pPr>
      <w:bookmarkStart w:id="38" w:name="_Toc15377210"/>
      <w:r>
        <w:rPr>
          <w:rFonts w:hAnsi="仿宋" w:eastAsia="仿宋"/>
          <w:b/>
          <w:sz w:val="32"/>
          <w:szCs w:val="32"/>
        </w:rPr>
        <w:t>（一）一般公共预算财政拨款支出决算总体情况</w:t>
      </w:r>
      <w:bookmarkEnd w:id="38"/>
    </w:p>
    <w:p>
      <w:pPr>
        <w:spacing w:line="580" w:lineRule="exact"/>
        <w:ind w:firstLine="640" w:firstLineChars="200"/>
        <w:outlineLvl w:val="1"/>
        <w:rPr>
          <w:rFonts w:ascii="方正仿宋_GBK" w:hAnsi="方正仿宋_GBK" w:eastAsia="方正仿宋_GBK"/>
          <w:sz w:val="32"/>
          <w:szCs w:val="32"/>
        </w:rPr>
      </w:pPr>
      <w:r>
        <w:rPr>
          <w:rFonts w:ascii="方正仿宋_GBK" w:hAnsi="方正仿宋_GBK" w:eastAsia="方正仿宋_GBK"/>
          <w:sz w:val="32"/>
          <w:szCs w:val="32"/>
        </w:rPr>
        <w:t>2021年一般公共预算财政拨款支出622.92万元，占本年支出合计的99.83%。与2020年相比，一般公共预算财政拨款支出减少97.70万元，下降13.56%。主要变动原因是</w:t>
      </w:r>
      <w:r>
        <w:rPr>
          <w:rFonts w:hint="eastAsia" w:ascii="方正仿宋_GBK" w:hAnsi="方正仿宋_GBK" w:eastAsia="方正仿宋_GBK"/>
          <w:sz w:val="32"/>
          <w:szCs w:val="32"/>
          <w:lang w:eastAsia="zh-CN"/>
        </w:rPr>
        <w:t>单位加强管理，厉行节约，项目减少，经费减少</w:t>
      </w:r>
      <w:r>
        <w:rPr>
          <w:rFonts w:ascii="方正仿宋_GBK" w:hAnsi="方正仿宋_GBK" w:eastAsia="方正仿宋_GBK"/>
          <w:sz w:val="32"/>
          <w:szCs w:val="32"/>
        </w:rPr>
        <w:t>。</w:t>
      </w:r>
      <w:bookmarkStart w:id="77" w:name="_GoBack"/>
      <w:bookmarkEnd w:id="77"/>
    </w:p>
    <w:p>
      <w:pPr>
        <w:pStyle w:val="2"/>
        <w:spacing w:before="93"/>
        <w:jc w:val="center"/>
        <w:rPr>
          <w:rFonts w:ascii="Times New Roman"/>
        </w:rPr>
      </w:pPr>
      <w:r>
        <w:rPr>
          <w:rFonts w:ascii="Times New Roman"/>
        </w:rPr>
        <w:drawing>
          <wp:inline distT="0" distB="0" distL="0" distR="0">
            <wp:extent cx="4442460" cy="2339340"/>
            <wp:effectExtent l="19050" t="0" r="15034" b="3604"/>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482" w:firstLineChars="150"/>
        <w:outlineLvl w:val="2"/>
        <w:rPr>
          <w:rFonts w:eastAsia="仿宋"/>
          <w:b/>
          <w:sz w:val="32"/>
          <w:szCs w:val="32"/>
        </w:rPr>
      </w:pPr>
      <w:bookmarkStart w:id="39" w:name="_Toc15377211"/>
      <w:r>
        <w:rPr>
          <w:rFonts w:hAnsi="仿宋" w:eastAsia="仿宋"/>
          <w:b/>
          <w:sz w:val="32"/>
          <w:szCs w:val="32"/>
        </w:rPr>
        <w:t>（二）一般公共预算财政拨款支出决算结构情况</w:t>
      </w:r>
      <w:bookmarkEnd w:id="39"/>
    </w:p>
    <w:p>
      <w:pPr>
        <w:spacing w:line="580" w:lineRule="exact"/>
        <w:ind w:firstLine="640" w:firstLineChars="200"/>
        <w:outlineLvl w:val="1"/>
        <w:rPr>
          <w:rFonts w:hint="eastAsia" w:ascii="方正仿宋_GBK" w:hAnsi="方正仿宋_GBK" w:eastAsia="方正仿宋_GBK"/>
          <w:sz w:val="32"/>
          <w:szCs w:val="32"/>
          <w:lang w:val="en-US" w:eastAsia="zh-CN"/>
        </w:rPr>
      </w:pPr>
      <w:r>
        <w:rPr>
          <w:rFonts w:ascii="方正仿宋_GBK" w:hAnsi="方正仿宋_GBK" w:eastAsia="方正仿宋_GBK"/>
          <w:sz w:val="32"/>
          <w:szCs w:val="32"/>
        </w:rPr>
        <w:t>2021年一般公共预算财政拨款支出622.92万元，主要用于以下方面:科学技术（类）支出471.29万元，占75.66%；社会保障和就业（类）支出118.57万元，占19.03%；住房保障支出33.06万元，占5.31%。</w:t>
      </w:r>
      <w:r>
        <w:rPr>
          <w:rFonts w:hint="eastAsia" w:ascii="方正仿宋_GBK" w:hAnsi="方正仿宋_GBK" w:eastAsia="方正仿宋_GBK"/>
          <w:sz w:val="32"/>
          <w:szCs w:val="32"/>
        </w:rPr>
        <w:t>一般公共服务（类）支出</w:t>
      </w:r>
      <w:r>
        <w:rPr>
          <w:rFonts w:hint="eastAsia" w:ascii="方正仿宋_GBK" w:hAnsi="方正仿宋_GBK" w:eastAsia="方正仿宋_GBK"/>
          <w:sz w:val="32"/>
          <w:szCs w:val="32"/>
          <w:lang w:val="en-US" w:eastAsia="zh-CN"/>
        </w:rPr>
        <w:t>0</w:t>
      </w:r>
      <w:r>
        <w:rPr>
          <w:rFonts w:hint="eastAsia" w:ascii="方正仿宋_GBK" w:hAnsi="方正仿宋_GBK" w:eastAsia="方正仿宋_GBK"/>
          <w:sz w:val="32"/>
          <w:szCs w:val="32"/>
        </w:rPr>
        <w:t>万元；教育支出（类）</w:t>
      </w:r>
      <w:r>
        <w:rPr>
          <w:rFonts w:hint="eastAsia" w:ascii="方正仿宋_GBK" w:hAnsi="方正仿宋_GBK" w:eastAsia="方正仿宋_GBK"/>
          <w:sz w:val="32"/>
          <w:szCs w:val="32"/>
          <w:lang w:val="en-US" w:eastAsia="zh-CN"/>
        </w:rPr>
        <w:t>0</w:t>
      </w:r>
      <w:r>
        <w:rPr>
          <w:rFonts w:hint="eastAsia" w:ascii="方正仿宋_GBK" w:hAnsi="方正仿宋_GBK" w:eastAsia="方正仿宋_GBK"/>
          <w:sz w:val="32"/>
          <w:szCs w:val="32"/>
        </w:rPr>
        <w:t>万元；文化旅游体育与传媒（类）支出</w:t>
      </w:r>
      <w:r>
        <w:rPr>
          <w:rFonts w:hint="eastAsia" w:ascii="方正仿宋_GBK" w:hAnsi="方正仿宋_GBK" w:eastAsia="方正仿宋_GBK"/>
          <w:sz w:val="32"/>
          <w:szCs w:val="32"/>
          <w:lang w:val="en-US" w:eastAsia="zh-CN"/>
        </w:rPr>
        <w:t>0</w:t>
      </w:r>
      <w:r>
        <w:rPr>
          <w:rFonts w:hint="eastAsia" w:ascii="方正仿宋_GBK" w:hAnsi="方正仿宋_GBK" w:eastAsia="方正仿宋_GBK"/>
          <w:sz w:val="32"/>
          <w:szCs w:val="32"/>
        </w:rPr>
        <w:t>万元；卫生健康支出</w:t>
      </w:r>
      <w:r>
        <w:rPr>
          <w:rFonts w:hint="eastAsia" w:ascii="方正仿宋_GBK" w:hAnsi="方正仿宋_GBK" w:eastAsia="方正仿宋_GBK"/>
          <w:sz w:val="32"/>
          <w:szCs w:val="32"/>
          <w:lang w:val="en-US" w:eastAsia="zh-CN"/>
        </w:rPr>
        <w:t>0</w:t>
      </w:r>
      <w:r>
        <w:rPr>
          <w:rFonts w:hint="eastAsia" w:ascii="方正仿宋_GBK" w:hAnsi="方正仿宋_GBK" w:eastAsia="方正仿宋_GBK"/>
          <w:sz w:val="32"/>
          <w:szCs w:val="32"/>
        </w:rPr>
        <w:t>万元</w:t>
      </w:r>
      <w:r>
        <w:rPr>
          <w:rFonts w:hint="eastAsia" w:ascii="方正仿宋_GBK" w:hAnsi="方正仿宋_GBK" w:eastAsia="方正仿宋_GBK"/>
          <w:sz w:val="32"/>
          <w:szCs w:val="32"/>
          <w:lang w:val="en-US" w:eastAsia="zh-CN"/>
        </w:rPr>
        <w:t>。</w:t>
      </w:r>
    </w:p>
    <w:p>
      <w:pPr>
        <w:ind w:firstLine="640" w:firstLineChars="200"/>
        <w:rPr>
          <w:rFonts w:eastAsia="仿宋"/>
          <w:sz w:val="32"/>
          <w:szCs w:val="32"/>
        </w:rPr>
      </w:pPr>
      <w:r>
        <w:rPr>
          <w:rFonts w:eastAsia="仿宋"/>
          <w:sz w:val="32"/>
          <w:szCs w:val="32"/>
        </w:rPr>
        <w:drawing>
          <wp:inline distT="0" distB="0" distL="0" distR="0">
            <wp:extent cx="4603750" cy="2322830"/>
            <wp:effectExtent l="19050" t="0" r="24902" b="103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80" w:lineRule="exact"/>
        <w:ind w:firstLine="643" w:firstLineChars="200"/>
        <w:outlineLvl w:val="2"/>
        <w:rPr>
          <w:rFonts w:eastAsia="仿宋"/>
          <w:b/>
          <w:sz w:val="32"/>
          <w:szCs w:val="32"/>
        </w:rPr>
      </w:pPr>
      <w:bookmarkStart w:id="40" w:name="_Toc15377212"/>
      <w:r>
        <w:rPr>
          <w:rFonts w:hAnsi="仿宋" w:eastAsia="仿宋"/>
          <w:b/>
          <w:sz w:val="32"/>
          <w:szCs w:val="32"/>
        </w:rPr>
        <w:t>（三）一般公共预算财政拨款支出决算具体情况</w:t>
      </w:r>
      <w:bookmarkEnd w:id="40"/>
    </w:p>
    <w:p>
      <w:pPr>
        <w:spacing w:line="580" w:lineRule="exact"/>
        <w:ind w:firstLine="640" w:firstLineChars="200"/>
        <w:outlineLvl w:val="1"/>
        <w:rPr>
          <w:rFonts w:ascii="方正仿宋_GBK" w:hAnsi="方正仿宋_GBK" w:eastAsia="方正仿宋_GBK"/>
          <w:b/>
          <w:sz w:val="32"/>
          <w:szCs w:val="32"/>
        </w:rPr>
      </w:pPr>
      <w:bookmarkStart w:id="41" w:name="_Toc15378460"/>
      <w:bookmarkStart w:id="42" w:name="_Toc15377213"/>
      <w:bookmarkStart w:id="43" w:name="_Toc15377444"/>
      <w:r>
        <w:rPr>
          <w:rFonts w:hint="eastAsia" w:ascii="方正仿宋_GBK" w:hAnsi="方正仿宋_GBK" w:eastAsia="方正仿宋_GBK"/>
          <w:sz w:val="32"/>
          <w:szCs w:val="32"/>
        </w:rPr>
        <w:t>2021年一般公共预算支出决算数为622.92万元，完成预算100</w:t>
      </w:r>
      <w:r>
        <w:rPr>
          <w:rFonts w:ascii="方正仿宋_GBK" w:hAnsi="方正仿宋_GBK" w:eastAsia="方正仿宋_GBK"/>
          <w:sz w:val="32"/>
          <w:szCs w:val="32"/>
        </w:rPr>
        <w:t>%</w:t>
      </w:r>
      <w:r>
        <w:rPr>
          <w:rFonts w:hint="eastAsia" w:ascii="方正仿宋_GBK" w:hAnsi="方正仿宋_GBK" w:eastAsia="方正仿宋_GBK"/>
          <w:sz w:val="32"/>
          <w:szCs w:val="32"/>
        </w:rPr>
        <w:t>。其中：</w:t>
      </w:r>
      <w:bookmarkEnd w:id="41"/>
      <w:bookmarkEnd w:id="42"/>
      <w:bookmarkEnd w:id="43"/>
    </w:p>
    <w:p>
      <w:pPr>
        <w:spacing w:line="580" w:lineRule="exact"/>
        <w:ind w:firstLine="640" w:firstLineChars="200"/>
        <w:outlineLvl w:val="1"/>
        <w:rPr>
          <w:rFonts w:ascii="方正仿宋_GBK" w:hAnsi="方正仿宋_GBK" w:eastAsia="方正仿宋_GBK"/>
          <w:b/>
          <w:sz w:val="32"/>
          <w:szCs w:val="32"/>
        </w:rPr>
      </w:pPr>
      <w:r>
        <w:rPr>
          <w:rFonts w:ascii="方正仿宋_GBK" w:hAnsi="方正仿宋_GBK" w:eastAsia="方正仿宋_GBK"/>
          <w:sz w:val="32"/>
          <w:szCs w:val="32"/>
        </w:rPr>
        <w:t>1.</w:t>
      </w:r>
      <w:r>
        <w:rPr>
          <w:rFonts w:hint="eastAsia" w:ascii="方正仿宋_GBK" w:hAnsi="方正仿宋_GBK" w:eastAsia="方正仿宋_GBK"/>
          <w:sz w:val="32"/>
          <w:szCs w:val="32"/>
        </w:rPr>
        <w:t>科学技术（类）科学技术管理事务（款）行政运行（项）</w:t>
      </w:r>
      <w:r>
        <w:rPr>
          <w:rFonts w:ascii="方正仿宋_GBK" w:hAnsi="方正仿宋_GBK" w:eastAsia="方正仿宋_GBK"/>
          <w:sz w:val="32"/>
          <w:szCs w:val="32"/>
        </w:rPr>
        <w:t>:</w:t>
      </w:r>
      <w:r>
        <w:rPr>
          <w:rFonts w:hint="eastAsia" w:ascii="方正仿宋_GBK" w:hAnsi="方正仿宋_GBK" w:eastAsia="方正仿宋_GBK"/>
          <w:sz w:val="32"/>
          <w:szCs w:val="32"/>
        </w:rPr>
        <w:t>支出决算为206.74万元，完成预算100</w:t>
      </w:r>
      <w:r>
        <w:rPr>
          <w:rFonts w:ascii="方正仿宋_GBK" w:hAnsi="方正仿宋_GBK" w:eastAsia="方正仿宋_GBK"/>
          <w:sz w:val="32"/>
          <w:szCs w:val="32"/>
        </w:rPr>
        <w:t>%</w:t>
      </w:r>
      <w:r>
        <w:rPr>
          <w:rFonts w:hint="eastAsia" w:ascii="方正仿宋_GBK" w:hAnsi="方正仿宋_GBK" w:eastAsia="方正仿宋_GBK"/>
          <w:sz w:val="32"/>
          <w:szCs w:val="32"/>
        </w:rPr>
        <w:t>。</w:t>
      </w:r>
    </w:p>
    <w:p>
      <w:pPr>
        <w:spacing w:line="580" w:lineRule="exact"/>
        <w:ind w:firstLine="640" w:firstLineChars="200"/>
        <w:outlineLvl w:val="1"/>
        <w:rPr>
          <w:rFonts w:ascii="方正仿宋_GBK" w:hAnsi="方正仿宋_GBK" w:eastAsia="方正仿宋_GBK"/>
          <w:sz w:val="32"/>
          <w:szCs w:val="32"/>
        </w:rPr>
      </w:pPr>
      <w:r>
        <w:rPr>
          <w:rFonts w:hint="eastAsia" w:ascii="方正仿宋_GBK" w:hAnsi="方正仿宋_GBK" w:eastAsia="方正仿宋_GBK"/>
          <w:sz w:val="32"/>
          <w:szCs w:val="32"/>
        </w:rPr>
        <w:t>2</w:t>
      </w:r>
      <w:r>
        <w:rPr>
          <w:rFonts w:ascii="方正仿宋_GBK" w:hAnsi="方正仿宋_GBK" w:eastAsia="方正仿宋_GBK"/>
          <w:sz w:val="32"/>
          <w:szCs w:val="32"/>
        </w:rPr>
        <w:t>.</w:t>
      </w:r>
      <w:r>
        <w:rPr>
          <w:rFonts w:hint="eastAsia" w:ascii="方正仿宋_GBK" w:hAnsi="方正仿宋_GBK" w:eastAsia="方正仿宋_GBK"/>
          <w:sz w:val="32"/>
          <w:szCs w:val="32"/>
        </w:rPr>
        <w:t>科学技术（类）科学技术普及（款）机构运行（项）</w:t>
      </w:r>
      <w:r>
        <w:rPr>
          <w:rFonts w:ascii="方正仿宋_GBK" w:hAnsi="方正仿宋_GBK" w:eastAsia="方正仿宋_GBK"/>
          <w:sz w:val="32"/>
          <w:szCs w:val="32"/>
        </w:rPr>
        <w:t>:</w:t>
      </w:r>
      <w:r>
        <w:rPr>
          <w:rFonts w:hint="eastAsia" w:ascii="方正仿宋_GBK" w:hAnsi="方正仿宋_GBK" w:eastAsia="方正仿宋_GBK"/>
          <w:sz w:val="32"/>
          <w:szCs w:val="32"/>
        </w:rPr>
        <w:t>支出决算为180.78万元，完成预算100</w:t>
      </w:r>
      <w:r>
        <w:rPr>
          <w:rFonts w:ascii="方正仿宋_GBK" w:hAnsi="方正仿宋_GBK" w:eastAsia="方正仿宋_GBK"/>
          <w:sz w:val="32"/>
          <w:szCs w:val="32"/>
        </w:rPr>
        <w:t>%</w:t>
      </w:r>
      <w:r>
        <w:rPr>
          <w:rFonts w:hint="eastAsia" w:ascii="方正仿宋_GBK" w:hAnsi="方正仿宋_GBK" w:eastAsia="方正仿宋_GBK"/>
          <w:sz w:val="32"/>
          <w:szCs w:val="32"/>
        </w:rPr>
        <w:t>。</w:t>
      </w:r>
    </w:p>
    <w:p>
      <w:pPr>
        <w:spacing w:line="580" w:lineRule="exact"/>
        <w:ind w:firstLine="640" w:firstLineChars="200"/>
        <w:outlineLvl w:val="1"/>
        <w:rPr>
          <w:rFonts w:ascii="方正仿宋_GBK" w:hAnsi="方正仿宋_GBK" w:eastAsia="方正仿宋_GBK"/>
          <w:sz w:val="32"/>
          <w:szCs w:val="32"/>
        </w:rPr>
      </w:pPr>
      <w:r>
        <w:rPr>
          <w:rFonts w:hint="eastAsia" w:ascii="方正仿宋_GBK" w:hAnsi="方正仿宋_GBK" w:eastAsia="方正仿宋_GBK"/>
          <w:sz w:val="32"/>
          <w:szCs w:val="32"/>
        </w:rPr>
        <w:t>3</w:t>
      </w:r>
      <w:r>
        <w:rPr>
          <w:rFonts w:ascii="方正仿宋_GBK" w:hAnsi="方正仿宋_GBK" w:eastAsia="方正仿宋_GBK"/>
          <w:sz w:val="32"/>
          <w:szCs w:val="32"/>
        </w:rPr>
        <w:t>.</w:t>
      </w:r>
      <w:r>
        <w:rPr>
          <w:rFonts w:hint="eastAsia" w:ascii="方正仿宋_GBK" w:hAnsi="方正仿宋_GBK" w:eastAsia="方正仿宋_GBK"/>
          <w:sz w:val="32"/>
          <w:szCs w:val="32"/>
        </w:rPr>
        <w:t>科学技术（类）科学技术普及（款）科普活动（项）</w:t>
      </w:r>
      <w:r>
        <w:rPr>
          <w:rFonts w:ascii="方正仿宋_GBK" w:hAnsi="方正仿宋_GBK" w:eastAsia="方正仿宋_GBK"/>
          <w:sz w:val="32"/>
          <w:szCs w:val="32"/>
        </w:rPr>
        <w:t>:</w:t>
      </w:r>
      <w:r>
        <w:rPr>
          <w:rFonts w:hint="eastAsia" w:ascii="方正仿宋_GBK" w:hAnsi="方正仿宋_GBK" w:eastAsia="方正仿宋_GBK"/>
          <w:sz w:val="32"/>
          <w:szCs w:val="32"/>
        </w:rPr>
        <w:t>支出决算为83.77万元，完成预算100</w:t>
      </w:r>
      <w:r>
        <w:rPr>
          <w:rFonts w:ascii="方正仿宋_GBK" w:hAnsi="方正仿宋_GBK" w:eastAsia="方正仿宋_GBK"/>
          <w:sz w:val="32"/>
          <w:szCs w:val="32"/>
        </w:rPr>
        <w:t>%</w:t>
      </w:r>
      <w:r>
        <w:rPr>
          <w:rFonts w:hint="eastAsia" w:ascii="方正仿宋_GBK" w:hAnsi="方正仿宋_GBK" w:eastAsia="方正仿宋_GBK"/>
          <w:sz w:val="32"/>
          <w:szCs w:val="32"/>
        </w:rPr>
        <w:t>。</w:t>
      </w:r>
    </w:p>
    <w:p>
      <w:pPr>
        <w:spacing w:line="580" w:lineRule="exact"/>
        <w:ind w:firstLine="640" w:firstLineChars="200"/>
        <w:outlineLvl w:val="1"/>
        <w:rPr>
          <w:rFonts w:ascii="方正仿宋_GBK" w:hAnsi="方正仿宋_GBK" w:eastAsia="方正仿宋_GBK"/>
          <w:b/>
          <w:sz w:val="32"/>
          <w:szCs w:val="32"/>
        </w:rPr>
      </w:pPr>
      <w:r>
        <w:rPr>
          <w:rFonts w:hint="eastAsia" w:ascii="方正仿宋_GBK" w:hAnsi="方正仿宋_GBK" w:eastAsia="方正仿宋_GBK"/>
          <w:sz w:val="32"/>
          <w:szCs w:val="32"/>
        </w:rPr>
        <w:t>4</w:t>
      </w:r>
      <w:r>
        <w:rPr>
          <w:rFonts w:ascii="方正仿宋_GBK" w:hAnsi="方正仿宋_GBK" w:eastAsia="方正仿宋_GBK"/>
          <w:sz w:val="32"/>
          <w:szCs w:val="32"/>
        </w:rPr>
        <w:t>.</w:t>
      </w:r>
      <w:r>
        <w:rPr>
          <w:rFonts w:hint="eastAsia" w:ascii="方正仿宋_GBK" w:hAnsi="方正仿宋_GBK" w:eastAsia="方正仿宋_GBK"/>
          <w:sz w:val="32"/>
          <w:szCs w:val="32"/>
        </w:rPr>
        <w:t>社会保障和就业（类）行政事业单位养老支出（款）行政单位离退休（项）</w:t>
      </w:r>
      <w:r>
        <w:rPr>
          <w:rFonts w:ascii="方正仿宋_GBK" w:hAnsi="方正仿宋_GBK" w:eastAsia="方正仿宋_GBK"/>
          <w:sz w:val="32"/>
          <w:szCs w:val="32"/>
        </w:rPr>
        <w:t>:</w:t>
      </w:r>
      <w:r>
        <w:rPr>
          <w:rFonts w:hint="eastAsia" w:ascii="方正仿宋_GBK" w:hAnsi="方正仿宋_GBK" w:eastAsia="方正仿宋_GBK"/>
          <w:sz w:val="32"/>
          <w:szCs w:val="32"/>
        </w:rPr>
        <w:t>支出决算为81.42万元，完成预算100</w:t>
      </w:r>
      <w:r>
        <w:rPr>
          <w:rFonts w:ascii="方正仿宋_GBK" w:hAnsi="方正仿宋_GBK" w:eastAsia="方正仿宋_GBK"/>
          <w:sz w:val="32"/>
          <w:szCs w:val="32"/>
        </w:rPr>
        <w:t>%</w:t>
      </w:r>
      <w:r>
        <w:rPr>
          <w:rFonts w:hint="eastAsia" w:ascii="方正仿宋_GBK" w:hAnsi="方正仿宋_GBK" w:eastAsia="方正仿宋_GBK"/>
          <w:sz w:val="32"/>
          <w:szCs w:val="32"/>
        </w:rPr>
        <w:t>。</w:t>
      </w:r>
    </w:p>
    <w:p>
      <w:pPr>
        <w:spacing w:line="580" w:lineRule="exact"/>
        <w:ind w:firstLine="640" w:firstLineChars="200"/>
        <w:outlineLvl w:val="1"/>
        <w:rPr>
          <w:rFonts w:ascii="方正仿宋_GBK" w:hAnsi="方正仿宋_GBK" w:eastAsia="方正仿宋_GBK"/>
          <w:b/>
          <w:sz w:val="32"/>
          <w:szCs w:val="32"/>
        </w:rPr>
      </w:pPr>
      <w:r>
        <w:rPr>
          <w:rFonts w:hint="eastAsia" w:ascii="方正仿宋_GBK" w:hAnsi="方正仿宋_GBK" w:eastAsia="方正仿宋_GBK"/>
          <w:sz w:val="32"/>
          <w:szCs w:val="32"/>
        </w:rPr>
        <w:t>5</w:t>
      </w:r>
      <w:r>
        <w:rPr>
          <w:rFonts w:ascii="方正仿宋_GBK" w:hAnsi="方正仿宋_GBK" w:eastAsia="方正仿宋_GBK"/>
          <w:sz w:val="32"/>
          <w:szCs w:val="32"/>
        </w:rPr>
        <w:t>.</w:t>
      </w:r>
      <w:r>
        <w:rPr>
          <w:rFonts w:hint="eastAsia" w:ascii="方正仿宋_GBK" w:hAnsi="方正仿宋_GBK" w:eastAsia="方正仿宋_GBK"/>
          <w:sz w:val="32"/>
          <w:szCs w:val="32"/>
        </w:rPr>
        <w:t>社会保障和就业（类）行政事业单位养老支出（款）机关事业单位基本养老保险缴费支出（项）</w:t>
      </w:r>
      <w:r>
        <w:rPr>
          <w:rFonts w:ascii="方正仿宋_GBK" w:hAnsi="方正仿宋_GBK" w:eastAsia="方正仿宋_GBK"/>
          <w:sz w:val="32"/>
          <w:szCs w:val="32"/>
        </w:rPr>
        <w:t>:</w:t>
      </w:r>
      <w:r>
        <w:rPr>
          <w:rFonts w:hint="eastAsia" w:ascii="方正仿宋_GBK" w:hAnsi="方正仿宋_GBK" w:eastAsia="方正仿宋_GBK"/>
          <w:sz w:val="32"/>
          <w:szCs w:val="32"/>
        </w:rPr>
        <w:t>支出决算为30.18万元，完成预算100</w:t>
      </w:r>
      <w:r>
        <w:rPr>
          <w:rFonts w:ascii="方正仿宋_GBK" w:hAnsi="方正仿宋_GBK" w:eastAsia="方正仿宋_GBK"/>
          <w:sz w:val="32"/>
          <w:szCs w:val="32"/>
        </w:rPr>
        <w:t>%</w:t>
      </w:r>
      <w:r>
        <w:rPr>
          <w:rFonts w:hint="eastAsia" w:ascii="方正仿宋_GBK" w:hAnsi="方正仿宋_GBK" w:eastAsia="方正仿宋_GBK"/>
          <w:sz w:val="32"/>
          <w:szCs w:val="32"/>
        </w:rPr>
        <w:t>。</w:t>
      </w:r>
    </w:p>
    <w:p>
      <w:pPr>
        <w:spacing w:line="580" w:lineRule="exact"/>
        <w:ind w:firstLine="640" w:firstLineChars="200"/>
        <w:outlineLvl w:val="1"/>
        <w:rPr>
          <w:rFonts w:ascii="方正仿宋_GBK" w:hAnsi="方正仿宋_GBK" w:eastAsia="方正仿宋_GBK"/>
          <w:b/>
        </w:rPr>
      </w:pPr>
      <w:r>
        <w:rPr>
          <w:rFonts w:ascii="方正仿宋_GBK" w:hAnsi="方正仿宋_GBK" w:eastAsia="方正仿宋_GBK"/>
          <w:sz w:val="32"/>
          <w:szCs w:val="32"/>
        </w:rPr>
        <w:t>6.社会保障和就业（类）抚恤（款）死亡抚恤（项）:支出决算为5.77万元，</w:t>
      </w:r>
      <w:r>
        <w:rPr>
          <w:rFonts w:hint="eastAsia" w:ascii="方正仿宋_GBK" w:hAnsi="方正仿宋_GBK" w:eastAsia="方正仿宋_GBK"/>
          <w:sz w:val="32"/>
          <w:szCs w:val="32"/>
        </w:rPr>
        <w:t>完成预算100</w:t>
      </w:r>
      <w:r>
        <w:rPr>
          <w:rFonts w:ascii="方正仿宋_GBK" w:hAnsi="方正仿宋_GBK" w:eastAsia="方正仿宋_GBK"/>
          <w:sz w:val="32"/>
          <w:szCs w:val="32"/>
        </w:rPr>
        <w:t>%</w:t>
      </w:r>
      <w:r>
        <w:rPr>
          <w:rFonts w:hint="eastAsia" w:ascii="方正仿宋_GBK" w:hAnsi="方正仿宋_GBK" w:eastAsia="方正仿宋_GBK"/>
          <w:sz w:val="32"/>
          <w:szCs w:val="32"/>
        </w:rPr>
        <w:t>。</w:t>
      </w:r>
    </w:p>
    <w:p>
      <w:pPr>
        <w:spacing w:line="580" w:lineRule="exact"/>
        <w:ind w:firstLine="640" w:firstLineChars="200"/>
        <w:outlineLvl w:val="1"/>
        <w:rPr>
          <w:rFonts w:ascii="方正仿宋_GBK" w:hAnsi="方正仿宋_GBK" w:eastAsia="方正仿宋_GBK"/>
          <w:b/>
        </w:rPr>
      </w:pPr>
      <w:r>
        <w:rPr>
          <w:rFonts w:ascii="方正仿宋_GBK" w:hAnsi="方正仿宋_GBK" w:eastAsia="方正仿宋_GBK"/>
          <w:sz w:val="32"/>
          <w:szCs w:val="32"/>
        </w:rPr>
        <w:t>7.社会保障和就业（类）社会福利（款）儿童福利（项）:支出决算为1.20万元，完成预算100%。</w:t>
      </w:r>
    </w:p>
    <w:p>
      <w:pPr>
        <w:spacing w:line="580" w:lineRule="exact"/>
        <w:ind w:firstLine="640" w:firstLineChars="200"/>
        <w:outlineLvl w:val="1"/>
        <w:rPr>
          <w:rFonts w:ascii="方正仿宋_GBK" w:hAnsi="方正仿宋_GBK" w:eastAsia="方正仿宋_GBK"/>
          <w:szCs w:val="32"/>
        </w:rPr>
      </w:pPr>
      <w:r>
        <w:rPr>
          <w:rFonts w:ascii="方正仿宋_GBK" w:hAnsi="方正仿宋_GBK" w:eastAsia="方正仿宋_GBK"/>
          <w:sz w:val="32"/>
          <w:szCs w:val="32"/>
        </w:rPr>
        <w:t>8.住房保障支出（类）住房改革支出（款）住房公积金（项）:支出决算为33.06万元，完成预算100%。</w:t>
      </w:r>
    </w:p>
    <w:p>
      <w:pPr>
        <w:tabs>
          <w:tab w:val="right" w:pos="8306"/>
        </w:tabs>
        <w:spacing w:line="580" w:lineRule="exact"/>
        <w:ind w:firstLine="640"/>
        <w:outlineLvl w:val="1"/>
        <w:rPr>
          <w:rStyle w:val="26"/>
          <w:rFonts w:ascii="Times New Roman" w:hAnsi="Times New Roman" w:cs="Times New Roman"/>
        </w:rPr>
      </w:pPr>
      <w:bookmarkStart w:id="44" w:name="_Toc15396608"/>
      <w:bookmarkStart w:id="45" w:name="_Toc15377214"/>
      <w:r>
        <w:rPr>
          <w:rFonts w:eastAsia="黑体"/>
          <w:sz w:val="32"/>
          <w:szCs w:val="32"/>
        </w:rPr>
        <w:t>六</w:t>
      </w:r>
      <w:r>
        <w:rPr>
          <w:rFonts w:eastAsia="黑体"/>
          <w:b/>
          <w:sz w:val="32"/>
          <w:szCs w:val="32"/>
        </w:rPr>
        <w:t>、</w:t>
      </w:r>
      <w:r>
        <w:rPr>
          <w:rFonts w:hAnsi="黑体" w:eastAsia="黑体"/>
          <w:b/>
          <w:sz w:val="32"/>
          <w:szCs w:val="32"/>
        </w:rPr>
        <w:t>一</w:t>
      </w:r>
      <w:r>
        <w:rPr>
          <w:rStyle w:val="26"/>
          <w:rFonts w:ascii="Times New Roman" w:hAnsi="黑体" w:eastAsia="黑体" w:cs="Times New Roman"/>
          <w:b w:val="0"/>
        </w:rPr>
        <w:t>般公共预算财政拨款基本支出决算情况说明</w:t>
      </w:r>
      <w:bookmarkEnd w:id="44"/>
      <w:bookmarkEnd w:id="45"/>
      <w:r>
        <w:rPr>
          <w:rStyle w:val="26"/>
          <w:rFonts w:ascii="Times New Roman" w:hAnsi="Times New Roman" w:eastAsia="黑体" w:cs="Times New Roman"/>
          <w:b w:val="0"/>
        </w:rPr>
        <w:tab/>
      </w:r>
    </w:p>
    <w:p>
      <w:pPr>
        <w:spacing w:line="580" w:lineRule="exact"/>
        <w:ind w:firstLine="640" w:firstLineChars="200"/>
        <w:outlineLvl w:val="1"/>
        <w:rPr>
          <w:rFonts w:ascii="方正仿宋_GBK" w:hAnsi="方正仿宋_GBK" w:eastAsia="方正仿宋_GBK"/>
          <w:sz w:val="32"/>
          <w:szCs w:val="32"/>
        </w:rPr>
      </w:pPr>
      <w:r>
        <w:rPr>
          <w:rFonts w:ascii="方正仿宋_GBK" w:hAnsi="方正仿宋_GBK" w:eastAsia="方正仿宋_GBK"/>
          <w:sz w:val="32"/>
          <w:szCs w:val="32"/>
        </w:rPr>
        <w:t>2021年一般公共预算财政拨款基本支出537.95万元，其中：</w:t>
      </w:r>
    </w:p>
    <w:p>
      <w:pPr>
        <w:spacing w:line="580" w:lineRule="exact"/>
        <w:ind w:firstLine="640" w:firstLineChars="200"/>
        <w:outlineLvl w:val="1"/>
        <w:rPr>
          <w:rFonts w:ascii="方正仿宋_GBK" w:hAnsi="方正仿宋_GBK" w:eastAsia="方正仿宋_GBK"/>
          <w:sz w:val="32"/>
          <w:szCs w:val="32"/>
        </w:rPr>
      </w:pPr>
      <w:r>
        <w:rPr>
          <w:rFonts w:ascii="方正仿宋_GBK" w:hAnsi="方正仿宋_GBK" w:eastAsia="方正仿宋_GBK"/>
          <w:sz w:val="32"/>
          <w:szCs w:val="32"/>
        </w:rPr>
        <w:t>人员经费467.31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方正仿宋_GBK" w:hAnsi="方正仿宋_GBK" w:eastAsia="方正仿宋_GBK"/>
          <w:sz w:val="32"/>
          <w:szCs w:val="32"/>
        </w:rPr>
        <w:br w:type="textWrapping"/>
      </w:r>
      <w:r>
        <w:rPr>
          <w:rFonts w:ascii="方正仿宋_GBK" w:hAnsi="方正仿宋_GBK" w:eastAsia="方正仿宋_GBK"/>
          <w:sz w:val="32"/>
          <w:szCs w:val="32"/>
        </w:rPr>
        <w:t>　　公用经费70.64万元，主要包括：办公费、印刷费、水费、电费、邮电费、物业管理费、差旅费、维修（护）费、会议费、培训费、公务接待费、劳务费、委托业务费、工会经费、福利费、公务用车运行维护费、其他交通费、税金及附加费用、其他商品和服务支出、办公设备购置、信息网络及软件购置更新、其他资本性支出等。</w:t>
      </w:r>
    </w:p>
    <w:p>
      <w:pPr>
        <w:spacing w:line="580" w:lineRule="exact"/>
        <w:ind w:firstLine="640"/>
        <w:outlineLvl w:val="1"/>
        <w:rPr>
          <w:rStyle w:val="26"/>
          <w:rFonts w:ascii="Times New Roman" w:hAnsi="Times New Roman" w:eastAsia="黑体" w:cs="Times New Roman"/>
          <w:b w:val="0"/>
        </w:rPr>
      </w:pPr>
      <w:bookmarkStart w:id="46" w:name="_Toc15396609"/>
      <w:bookmarkStart w:id="47" w:name="_Toc15377215"/>
      <w:r>
        <w:rPr>
          <w:rFonts w:eastAsia="黑体"/>
          <w:sz w:val="32"/>
          <w:szCs w:val="32"/>
        </w:rPr>
        <w:t>七、</w:t>
      </w:r>
      <w:r>
        <w:rPr>
          <w:rStyle w:val="26"/>
          <w:rFonts w:ascii="Times New Roman" w:hAnsi="Times New Roman" w:eastAsia="黑体" w:cs="Times New Roman"/>
        </w:rPr>
        <w:t>“</w:t>
      </w:r>
      <w:r>
        <w:rPr>
          <w:rStyle w:val="26"/>
          <w:rFonts w:ascii="Times New Roman" w:hAnsi="黑体" w:eastAsia="黑体" w:cs="Times New Roman"/>
          <w:b w:val="0"/>
        </w:rPr>
        <w:t>三公</w:t>
      </w:r>
      <w:r>
        <w:rPr>
          <w:rStyle w:val="26"/>
          <w:rFonts w:ascii="Times New Roman" w:hAnsi="Times New Roman" w:eastAsia="黑体" w:cs="Times New Roman"/>
          <w:b w:val="0"/>
        </w:rPr>
        <w:t>”</w:t>
      </w:r>
      <w:r>
        <w:rPr>
          <w:rStyle w:val="26"/>
          <w:rFonts w:ascii="Times New Roman" w:hAnsi="黑体" w:eastAsia="黑体" w:cs="Times New Roman"/>
          <w:b w:val="0"/>
        </w:rPr>
        <w:t>经费财政拨款支出决算情况说明</w:t>
      </w:r>
      <w:bookmarkEnd w:id="46"/>
      <w:bookmarkEnd w:id="47"/>
    </w:p>
    <w:p>
      <w:pPr>
        <w:spacing w:line="580" w:lineRule="exact"/>
        <w:ind w:firstLine="640"/>
        <w:outlineLvl w:val="2"/>
        <w:rPr>
          <w:rFonts w:eastAsia="仿宋"/>
          <w:b/>
          <w:sz w:val="32"/>
          <w:szCs w:val="32"/>
        </w:rPr>
      </w:pPr>
      <w:bookmarkStart w:id="48" w:name="_Toc15377216"/>
      <w:r>
        <w:rPr>
          <w:rFonts w:hAnsi="仿宋" w:eastAsia="仿宋"/>
          <w:b/>
          <w:sz w:val="32"/>
          <w:szCs w:val="32"/>
        </w:rPr>
        <w:t>（一）</w:t>
      </w:r>
      <w:r>
        <w:rPr>
          <w:rFonts w:eastAsia="仿宋"/>
          <w:b/>
          <w:sz w:val="32"/>
          <w:szCs w:val="32"/>
        </w:rPr>
        <w:t>“</w:t>
      </w:r>
      <w:r>
        <w:rPr>
          <w:rFonts w:hAnsi="仿宋" w:eastAsia="仿宋"/>
          <w:b/>
          <w:sz w:val="32"/>
          <w:szCs w:val="32"/>
        </w:rPr>
        <w:t>三公</w:t>
      </w:r>
      <w:r>
        <w:rPr>
          <w:rFonts w:eastAsia="仿宋"/>
          <w:b/>
          <w:sz w:val="32"/>
          <w:szCs w:val="32"/>
        </w:rPr>
        <w:t>”</w:t>
      </w:r>
      <w:r>
        <w:rPr>
          <w:rFonts w:hAnsi="仿宋" w:eastAsia="仿宋"/>
          <w:b/>
          <w:sz w:val="32"/>
          <w:szCs w:val="32"/>
        </w:rPr>
        <w:t>经费财政拨款支出决算总体情况说明</w:t>
      </w:r>
      <w:bookmarkEnd w:id="48"/>
    </w:p>
    <w:p>
      <w:pPr>
        <w:spacing w:line="580" w:lineRule="exact"/>
        <w:ind w:firstLine="640"/>
        <w:rPr>
          <w:rFonts w:ascii="方正仿宋_GBK" w:hAnsi="方正仿宋_GBK" w:eastAsia="方正仿宋_GBK"/>
          <w:sz w:val="32"/>
          <w:szCs w:val="32"/>
        </w:rPr>
      </w:pPr>
      <w:r>
        <w:rPr>
          <w:rFonts w:ascii="方正仿宋_GBK" w:hAnsi="方正仿宋_GBK" w:eastAsia="方正仿宋_GBK"/>
          <w:sz w:val="32"/>
          <w:szCs w:val="32"/>
        </w:rPr>
        <w:t>2021年“三公”经费财政拨款支出决算为2.89万元，完成预算100%。</w:t>
      </w:r>
    </w:p>
    <w:p>
      <w:pPr>
        <w:spacing w:line="580" w:lineRule="exact"/>
        <w:ind w:firstLine="641"/>
        <w:outlineLvl w:val="2"/>
        <w:rPr>
          <w:rFonts w:eastAsia="仿宋"/>
          <w:b/>
          <w:sz w:val="32"/>
          <w:szCs w:val="32"/>
        </w:rPr>
      </w:pPr>
      <w:bookmarkStart w:id="49" w:name="_Toc15377217"/>
      <w:r>
        <w:rPr>
          <w:rFonts w:hAnsi="仿宋" w:eastAsia="仿宋"/>
          <w:b/>
          <w:sz w:val="32"/>
          <w:szCs w:val="32"/>
        </w:rPr>
        <w:t>（二）</w:t>
      </w:r>
      <w:r>
        <w:rPr>
          <w:rFonts w:eastAsia="仿宋"/>
          <w:b/>
          <w:sz w:val="32"/>
          <w:szCs w:val="32"/>
        </w:rPr>
        <w:t>“</w:t>
      </w:r>
      <w:r>
        <w:rPr>
          <w:rFonts w:hAnsi="仿宋" w:eastAsia="仿宋"/>
          <w:b/>
          <w:sz w:val="32"/>
          <w:szCs w:val="32"/>
        </w:rPr>
        <w:t>三公</w:t>
      </w:r>
      <w:r>
        <w:rPr>
          <w:rFonts w:eastAsia="仿宋"/>
          <w:b/>
          <w:sz w:val="32"/>
          <w:szCs w:val="32"/>
        </w:rPr>
        <w:t>”</w:t>
      </w:r>
      <w:r>
        <w:rPr>
          <w:rFonts w:hAnsi="仿宋" w:eastAsia="仿宋"/>
          <w:b/>
          <w:sz w:val="32"/>
          <w:szCs w:val="32"/>
        </w:rPr>
        <w:t>经费财政拨款支出决算具体情况说明</w:t>
      </w:r>
      <w:bookmarkEnd w:id="49"/>
    </w:p>
    <w:p>
      <w:pPr>
        <w:spacing w:line="580" w:lineRule="exact"/>
        <w:ind w:firstLine="641"/>
        <w:rPr>
          <w:rFonts w:ascii="方正仿宋_GBK" w:hAnsi="方正仿宋_GBK" w:eastAsia="方正仿宋_GBK"/>
          <w:sz w:val="32"/>
          <w:szCs w:val="32"/>
        </w:rPr>
      </w:pPr>
      <w:r>
        <w:rPr>
          <w:rFonts w:ascii="方正仿宋_GBK" w:hAnsi="方正仿宋_GBK" w:eastAsia="方正仿宋_GBK"/>
          <w:sz w:val="32"/>
          <w:szCs w:val="32"/>
        </w:rPr>
        <w:t>2021年“三公”经费财政拨款支出决算中，因公出国（境）费支出决算0万元；公务用车购置及运行维护费支出决算2.48万元，占85.81%；公务接待费支出决算0.41万元，占14.19%。具体情况如下：</w:t>
      </w:r>
    </w:p>
    <w:p>
      <w:pPr>
        <w:pStyle w:val="2"/>
        <w:spacing w:before="93"/>
        <w:jc w:val="center"/>
        <w:rPr>
          <w:rFonts w:ascii="Times New Roman"/>
        </w:rPr>
      </w:pPr>
      <w:r>
        <w:rPr>
          <w:rFonts w:ascii="Times New Roman"/>
        </w:rPr>
        <w:drawing>
          <wp:inline distT="0" distB="0" distL="0" distR="0">
            <wp:extent cx="4528185" cy="2545080"/>
            <wp:effectExtent l="19050" t="0" r="24713" b="7208"/>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580" w:lineRule="exact"/>
        <w:ind w:firstLine="640"/>
        <w:rPr>
          <w:rFonts w:ascii="方正仿宋_GBK" w:hAnsi="方正仿宋_GBK" w:eastAsia="方正仿宋_GBK"/>
          <w:sz w:val="32"/>
          <w:szCs w:val="32"/>
        </w:rPr>
      </w:pPr>
      <w:r>
        <w:rPr>
          <w:rFonts w:ascii="方正仿宋_GBK" w:hAnsi="方正仿宋_GBK" w:eastAsia="方正仿宋_GBK"/>
          <w:sz w:val="32"/>
          <w:szCs w:val="32"/>
        </w:rPr>
        <w:t>1.因公出国（境）经费支出0万元</w:t>
      </w:r>
      <w:r>
        <w:rPr>
          <w:rFonts w:ascii="方正仿宋_GBK" w:hAnsi="方正仿宋_GBK" w:eastAsia="方正仿宋_GBK"/>
          <w:b/>
          <w:sz w:val="32"/>
          <w:szCs w:val="32"/>
        </w:rPr>
        <w:t>，</w:t>
      </w:r>
      <w:r>
        <w:rPr>
          <w:rStyle w:val="15"/>
          <w:rFonts w:ascii="方正仿宋_GBK" w:hAnsi="方正仿宋_GBK" w:eastAsia="方正仿宋_GBK"/>
          <w:b w:val="0"/>
          <w:bCs/>
          <w:sz w:val="32"/>
          <w:szCs w:val="32"/>
        </w:rPr>
        <w:t>无预算。</w:t>
      </w:r>
    </w:p>
    <w:p>
      <w:pPr>
        <w:spacing w:line="580" w:lineRule="exact"/>
        <w:ind w:firstLine="640"/>
        <w:rPr>
          <w:rFonts w:ascii="方正仿宋_GBK" w:hAnsi="方正仿宋_GBK" w:eastAsia="方正仿宋_GBK"/>
          <w:sz w:val="32"/>
          <w:szCs w:val="32"/>
        </w:rPr>
      </w:pPr>
      <w:r>
        <w:rPr>
          <w:rFonts w:ascii="方正仿宋_GBK" w:hAnsi="方正仿宋_GBK" w:eastAsia="方正仿宋_GBK"/>
          <w:sz w:val="32"/>
          <w:szCs w:val="32"/>
        </w:rPr>
        <w:t>2.公务用车购置及运行维护费支出2.48万元</w:t>
      </w:r>
      <w:r>
        <w:rPr>
          <w:rFonts w:ascii="方正仿宋_GBK" w:hAnsi="方正仿宋_GBK" w:eastAsia="方正仿宋_GBK"/>
          <w:b/>
          <w:sz w:val="32"/>
          <w:szCs w:val="32"/>
        </w:rPr>
        <w:t>,</w:t>
      </w:r>
      <w:r>
        <w:rPr>
          <w:rStyle w:val="15"/>
          <w:rFonts w:ascii="方正仿宋_GBK" w:hAnsi="方正仿宋_GBK" w:eastAsia="方正仿宋_GBK"/>
          <w:b w:val="0"/>
          <w:bCs/>
          <w:sz w:val="32"/>
          <w:szCs w:val="32"/>
        </w:rPr>
        <w:t>完成预算100%。</w:t>
      </w:r>
      <w:r>
        <w:rPr>
          <w:rFonts w:ascii="方正仿宋_GBK" w:hAnsi="方正仿宋_GBK" w:eastAsia="方正仿宋_GBK"/>
          <w:sz w:val="32"/>
          <w:szCs w:val="32"/>
        </w:rPr>
        <w:t>公务用车购置及运行维护费支出决算比2020年减少7.08万元，下降74.06%。主要原因是本年未购置公务用车，厉行节约，缩减开支。</w:t>
      </w:r>
    </w:p>
    <w:p>
      <w:pPr>
        <w:spacing w:line="580" w:lineRule="exact"/>
        <w:ind w:firstLine="640" w:firstLineChars="200"/>
        <w:rPr>
          <w:rFonts w:ascii="方正仿宋_GBK" w:hAnsi="方正仿宋_GBK" w:eastAsia="方正仿宋_GBK"/>
          <w:sz w:val="32"/>
          <w:szCs w:val="32"/>
        </w:rPr>
      </w:pPr>
      <w:r>
        <w:rPr>
          <w:rFonts w:ascii="方正仿宋_GBK" w:hAnsi="方正仿宋_GBK" w:eastAsia="方正仿宋_GBK"/>
          <w:sz w:val="32"/>
          <w:szCs w:val="32"/>
        </w:rPr>
        <w:t>其中：公务用车购置支出0万元。</w:t>
      </w:r>
    </w:p>
    <w:p>
      <w:pPr>
        <w:spacing w:line="580" w:lineRule="exact"/>
        <w:ind w:firstLine="640"/>
        <w:rPr>
          <w:rFonts w:ascii="方正仿宋_GBK" w:hAnsi="方正仿宋_GBK" w:eastAsia="方正仿宋_GBK"/>
          <w:sz w:val="32"/>
          <w:szCs w:val="32"/>
        </w:rPr>
      </w:pPr>
      <w:r>
        <w:rPr>
          <w:rFonts w:ascii="方正仿宋_GBK" w:hAnsi="方正仿宋_GBK" w:eastAsia="方正仿宋_GBK"/>
          <w:sz w:val="32"/>
          <w:szCs w:val="32"/>
        </w:rPr>
        <w:t>公务用车运行维护费支出2.48万元。</w:t>
      </w:r>
      <w:r>
        <w:rPr>
          <w:rFonts w:ascii="方正仿宋_GBK" w:hAnsi="方正仿宋_GBK" w:eastAsia="方正仿宋_GBK"/>
          <w:color w:val="000000"/>
          <w:sz w:val="32"/>
          <w:szCs w:val="32"/>
        </w:rPr>
        <w:t>主要用于科普下乡、工作调研、成员单位联系、接待来访院士专家等所需的公务用车燃料费、维修费、过路费、保险费等支出。</w:t>
      </w:r>
    </w:p>
    <w:p>
      <w:pPr>
        <w:spacing w:line="580" w:lineRule="exact"/>
        <w:ind w:firstLine="640"/>
        <w:rPr>
          <w:rFonts w:ascii="方正仿宋_GBK" w:hAnsi="方正仿宋_GBK" w:eastAsia="方正仿宋_GBK"/>
          <w:sz w:val="32"/>
          <w:szCs w:val="32"/>
        </w:rPr>
      </w:pPr>
      <w:r>
        <w:rPr>
          <w:rFonts w:ascii="方正仿宋_GBK" w:hAnsi="方正仿宋_GBK" w:eastAsia="方正仿宋_GBK"/>
          <w:sz w:val="32"/>
          <w:szCs w:val="32"/>
        </w:rPr>
        <w:t>3.公务接待费支出0.41万元，</w:t>
      </w:r>
      <w:r>
        <w:rPr>
          <w:rStyle w:val="15"/>
          <w:rFonts w:ascii="方正仿宋_GBK" w:hAnsi="方正仿宋_GBK" w:eastAsia="方正仿宋_GBK"/>
          <w:b w:val="0"/>
          <w:bCs/>
          <w:sz w:val="32"/>
          <w:szCs w:val="32"/>
        </w:rPr>
        <w:t>完成预算100%。</w:t>
      </w:r>
      <w:r>
        <w:rPr>
          <w:rFonts w:ascii="方正仿宋_GBK" w:hAnsi="方正仿宋_GBK" w:eastAsia="方正仿宋_GBK"/>
          <w:sz w:val="32"/>
          <w:szCs w:val="32"/>
        </w:rPr>
        <w:t>公务接待费支出决算比2020年增加0.02万元，增长5.13%。主要原因疫情好转，公务接待批次增加。其中：</w:t>
      </w:r>
    </w:p>
    <w:p>
      <w:pPr>
        <w:spacing w:line="580" w:lineRule="exact"/>
        <w:ind w:firstLine="640"/>
        <w:rPr>
          <w:rFonts w:ascii="方正仿宋_GBK" w:hAnsi="方正仿宋_GBK" w:eastAsia="方正仿宋_GBK"/>
          <w:sz w:val="32"/>
          <w:szCs w:val="32"/>
        </w:rPr>
      </w:pPr>
      <w:r>
        <w:rPr>
          <w:rFonts w:ascii="方正仿宋_GBK" w:hAnsi="方正仿宋_GBK" w:eastAsia="方正仿宋_GBK"/>
          <w:sz w:val="32"/>
          <w:szCs w:val="32"/>
        </w:rPr>
        <w:t>国内公务接待支出0.41万元，</w:t>
      </w:r>
      <w:r>
        <w:rPr>
          <w:rFonts w:ascii="方正仿宋_GBK" w:hAnsi="方正仿宋_GBK" w:eastAsia="方正仿宋_GBK"/>
          <w:color w:val="000000"/>
          <w:sz w:val="32"/>
          <w:szCs w:val="32"/>
        </w:rPr>
        <w:t>主要用于执行公务、开展业务活动开支的用餐费。</w:t>
      </w:r>
      <w:r>
        <w:rPr>
          <w:rFonts w:ascii="方正仿宋_GBK" w:hAnsi="方正仿宋_GBK" w:eastAsia="方正仿宋_GBK"/>
          <w:sz w:val="32"/>
          <w:szCs w:val="32"/>
        </w:rPr>
        <w:t>国内公务接待4批次，17人次（不包括陪同人员），共计支出0.41万元，具体内容包括：接待四川省当代创新文化传媒有限公司新闻报道策划工作餐费506元、焦作市科学技术协会“全国科技工作者日”期间赴攀调研及慰问活动餐费1700元、省青少年科技中心调研考察四川省青少年机器人竞赛相关场地条件和青少年科普基地事宜工作餐费592元、省科协赴攀调研“天府科技云”“保姆式”服务工作餐费1260元。</w:t>
      </w:r>
    </w:p>
    <w:p>
      <w:pPr>
        <w:autoSpaceDE w:val="0"/>
        <w:autoSpaceDN w:val="0"/>
        <w:spacing w:line="580" w:lineRule="exact"/>
        <w:ind w:firstLine="640" w:firstLineChars="200"/>
        <w:rPr>
          <w:rFonts w:ascii="方正仿宋_GBK" w:hAnsi="方正仿宋_GBK" w:eastAsia="方正仿宋_GBK"/>
          <w:color w:val="000000"/>
          <w:sz w:val="32"/>
          <w:szCs w:val="32"/>
        </w:rPr>
      </w:pPr>
      <w:r>
        <w:rPr>
          <w:rFonts w:ascii="方正仿宋_GBK" w:hAnsi="方正仿宋_GBK" w:eastAsia="方正仿宋_GBK"/>
          <w:color w:val="000000"/>
          <w:sz w:val="32"/>
          <w:szCs w:val="32"/>
        </w:rPr>
        <w:t>外事接待支出0万元。</w:t>
      </w:r>
    </w:p>
    <w:p>
      <w:pPr>
        <w:spacing w:line="580" w:lineRule="exact"/>
        <w:ind w:firstLine="640"/>
        <w:outlineLvl w:val="1"/>
        <w:rPr>
          <w:rStyle w:val="26"/>
          <w:rFonts w:ascii="Times New Roman" w:hAnsi="Times New Roman" w:eastAsia="黑体" w:cs="Times New Roman"/>
        </w:rPr>
      </w:pPr>
      <w:bookmarkStart w:id="50" w:name="_Toc15396610"/>
      <w:bookmarkStart w:id="51" w:name="_Toc15377218"/>
      <w:r>
        <w:rPr>
          <w:rFonts w:eastAsia="黑体"/>
          <w:sz w:val="32"/>
          <w:szCs w:val="32"/>
        </w:rPr>
        <w:t>八、</w:t>
      </w:r>
      <w:r>
        <w:rPr>
          <w:rStyle w:val="26"/>
          <w:rFonts w:ascii="Times New Roman" w:hAnsi="黑体" w:eastAsia="黑体" w:cs="Times New Roman"/>
          <w:b w:val="0"/>
        </w:rPr>
        <w:t>政府性基金预算支出决算情况说明</w:t>
      </w:r>
      <w:bookmarkEnd w:id="50"/>
      <w:bookmarkEnd w:id="51"/>
    </w:p>
    <w:p>
      <w:pPr>
        <w:spacing w:line="580" w:lineRule="exact"/>
        <w:ind w:firstLine="640"/>
        <w:rPr>
          <w:rFonts w:ascii="方正仿宋_GBK" w:hAnsi="方正仿宋_GBK" w:eastAsia="方正仿宋_GBK"/>
          <w:sz w:val="32"/>
          <w:szCs w:val="32"/>
        </w:rPr>
      </w:pPr>
      <w:r>
        <w:rPr>
          <w:rFonts w:ascii="方正仿宋_GBK" w:hAnsi="方正仿宋_GBK" w:eastAsia="方正仿宋_GBK"/>
          <w:sz w:val="32"/>
          <w:szCs w:val="32"/>
        </w:rPr>
        <w:t>2021年政府性基金预算财政拨款支出1.08万元。</w:t>
      </w:r>
    </w:p>
    <w:p>
      <w:pPr>
        <w:numPr>
          <w:ilvl w:val="0"/>
          <w:numId w:val="2"/>
        </w:numPr>
        <w:spacing w:line="580" w:lineRule="exact"/>
        <w:ind w:firstLine="640"/>
        <w:outlineLvl w:val="1"/>
        <w:rPr>
          <w:rStyle w:val="26"/>
          <w:rFonts w:ascii="Times New Roman" w:hAnsi="Times New Roman" w:eastAsia="黑体" w:cs="Times New Roman"/>
          <w:b w:val="0"/>
        </w:rPr>
      </w:pPr>
      <w:bookmarkStart w:id="52" w:name="_Toc15377219"/>
      <w:bookmarkStart w:id="53" w:name="_Toc15396611"/>
      <w:r>
        <w:rPr>
          <w:rStyle w:val="26"/>
          <w:rFonts w:ascii="Times New Roman" w:hAnsi="黑体" w:eastAsia="黑体" w:cs="Times New Roman"/>
          <w:b w:val="0"/>
        </w:rPr>
        <w:t>国有资本经营预算支出决算情况说明</w:t>
      </w:r>
      <w:bookmarkEnd w:id="52"/>
      <w:bookmarkEnd w:id="53"/>
    </w:p>
    <w:p>
      <w:pPr>
        <w:spacing w:line="580" w:lineRule="exact"/>
        <w:ind w:firstLine="640"/>
        <w:rPr>
          <w:rFonts w:ascii="方正仿宋_GBK" w:hAnsi="方正仿宋_GBK" w:eastAsia="方正仿宋_GBK"/>
          <w:sz w:val="32"/>
          <w:szCs w:val="32"/>
        </w:rPr>
      </w:pPr>
      <w:r>
        <w:rPr>
          <w:rFonts w:ascii="方正仿宋_GBK" w:hAnsi="方正仿宋_GBK" w:eastAsia="方正仿宋_GBK"/>
          <w:sz w:val="32"/>
          <w:szCs w:val="32"/>
        </w:rPr>
        <w:t>2021年国有资本经营预算财政拨款支出0万元。</w:t>
      </w:r>
    </w:p>
    <w:p>
      <w:pPr>
        <w:numPr>
          <w:ilvl w:val="0"/>
          <w:numId w:val="2"/>
        </w:numPr>
        <w:spacing w:line="580" w:lineRule="exact"/>
        <w:ind w:firstLine="640"/>
        <w:outlineLvl w:val="1"/>
        <w:rPr>
          <w:rStyle w:val="26"/>
          <w:rFonts w:ascii="Times New Roman" w:hAnsi="Times New Roman" w:eastAsia="黑体" w:cs="Times New Roman"/>
          <w:b w:val="0"/>
        </w:rPr>
      </w:pPr>
      <w:bookmarkStart w:id="54" w:name="_Toc15377221"/>
      <w:bookmarkStart w:id="55" w:name="_Toc15396612"/>
      <w:r>
        <w:rPr>
          <w:rStyle w:val="26"/>
          <w:rFonts w:ascii="Times New Roman" w:hAnsi="黑体" w:eastAsia="黑体" w:cs="Times New Roman"/>
          <w:b w:val="0"/>
        </w:rPr>
        <w:t>其他重要事项的情况说明</w:t>
      </w:r>
      <w:bookmarkEnd w:id="54"/>
      <w:bookmarkEnd w:id="55"/>
    </w:p>
    <w:p>
      <w:pPr>
        <w:spacing w:line="580" w:lineRule="exact"/>
        <w:ind w:firstLine="643" w:firstLineChars="200"/>
        <w:outlineLvl w:val="2"/>
        <w:rPr>
          <w:rFonts w:eastAsia="仿宋"/>
          <w:sz w:val="32"/>
          <w:szCs w:val="32"/>
        </w:rPr>
      </w:pPr>
      <w:bookmarkStart w:id="56" w:name="_Toc15377222"/>
      <w:r>
        <w:rPr>
          <w:rFonts w:hAnsi="仿宋" w:eastAsia="仿宋"/>
          <w:b/>
          <w:sz w:val="32"/>
          <w:szCs w:val="32"/>
        </w:rPr>
        <w:t>（一）机关运行经费支出情况</w:t>
      </w:r>
      <w:bookmarkEnd w:id="56"/>
    </w:p>
    <w:p>
      <w:pPr>
        <w:spacing w:line="580" w:lineRule="exact"/>
        <w:ind w:firstLine="640" w:firstLineChars="200"/>
        <w:rPr>
          <w:rFonts w:ascii="方正仿宋_GBK" w:hAnsi="方正仿宋_GBK" w:eastAsia="方正仿宋_GBK"/>
          <w:sz w:val="32"/>
          <w:szCs w:val="32"/>
        </w:rPr>
      </w:pPr>
      <w:r>
        <w:rPr>
          <w:rFonts w:ascii="方正仿宋_GBK" w:hAnsi="方正仿宋_GBK" w:eastAsia="方正仿宋_GBK"/>
          <w:sz w:val="32"/>
          <w:szCs w:val="32"/>
        </w:rPr>
        <w:t>2021年，攀枝花市科学技术协会机关运行经费支出70.64万元，比2020年增加1.51万元，增长2.18%。主要原因是疫情好转，开展宣传次数、公务接待批次增加。</w:t>
      </w:r>
    </w:p>
    <w:p>
      <w:pPr>
        <w:autoSpaceDE w:val="0"/>
        <w:autoSpaceDN w:val="0"/>
        <w:adjustRightInd w:val="0"/>
        <w:spacing w:line="580" w:lineRule="exact"/>
        <w:ind w:firstLine="643" w:firstLineChars="200"/>
        <w:jc w:val="left"/>
        <w:outlineLvl w:val="2"/>
        <w:rPr>
          <w:rFonts w:eastAsia="仿宋"/>
          <w:b/>
          <w:sz w:val="32"/>
          <w:szCs w:val="32"/>
        </w:rPr>
      </w:pPr>
      <w:bookmarkStart w:id="57" w:name="_Toc15377223"/>
      <w:r>
        <w:rPr>
          <w:rFonts w:hAnsi="仿宋" w:eastAsia="仿宋"/>
          <w:b/>
          <w:sz w:val="32"/>
          <w:szCs w:val="32"/>
        </w:rPr>
        <w:t>（二）政府采购支出情况</w:t>
      </w:r>
      <w:bookmarkEnd w:id="57"/>
    </w:p>
    <w:p>
      <w:pPr>
        <w:spacing w:line="580" w:lineRule="exact"/>
        <w:ind w:firstLine="640" w:firstLineChars="200"/>
        <w:rPr>
          <w:rFonts w:ascii="方正仿宋_GBK" w:hAnsi="方正仿宋_GBK" w:eastAsia="方正仿宋_GBK"/>
          <w:sz w:val="32"/>
          <w:szCs w:val="32"/>
        </w:rPr>
      </w:pPr>
      <w:r>
        <w:rPr>
          <w:rFonts w:ascii="方正仿宋_GBK" w:hAnsi="方正仿宋_GBK" w:eastAsia="方正仿宋_GBK"/>
          <w:sz w:val="32"/>
          <w:szCs w:val="32"/>
        </w:rPr>
        <w:t>2021年，攀枝花市科学技术协会政府采购支出总额0万元。</w:t>
      </w:r>
    </w:p>
    <w:p>
      <w:pPr>
        <w:autoSpaceDE w:val="0"/>
        <w:autoSpaceDN w:val="0"/>
        <w:adjustRightInd w:val="0"/>
        <w:spacing w:line="580" w:lineRule="exact"/>
        <w:ind w:firstLine="643" w:firstLineChars="200"/>
        <w:jc w:val="left"/>
        <w:outlineLvl w:val="2"/>
        <w:rPr>
          <w:rFonts w:eastAsia="仿宋"/>
          <w:b/>
          <w:sz w:val="32"/>
          <w:szCs w:val="32"/>
        </w:rPr>
      </w:pPr>
      <w:bookmarkStart w:id="58" w:name="_Toc15377224"/>
      <w:r>
        <w:rPr>
          <w:rFonts w:hAnsi="仿宋" w:eastAsia="仿宋"/>
          <w:b/>
          <w:sz w:val="32"/>
          <w:szCs w:val="32"/>
        </w:rPr>
        <w:t>（三）国有资产占有使用情况</w:t>
      </w:r>
      <w:bookmarkEnd w:id="58"/>
    </w:p>
    <w:p>
      <w:pPr>
        <w:autoSpaceDE w:val="0"/>
        <w:autoSpaceDN w:val="0"/>
        <w:adjustRightInd w:val="0"/>
        <w:spacing w:line="580" w:lineRule="exact"/>
        <w:ind w:firstLine="640" w:firstLineChars="200"/>
        <w:jc w:val="left"/>
        <w:rPr>
          <w:rFonts w:ascii="方正仿宋_GBK" w:hAnsi="方正仿宋_GBK" w:eastAsia="方正仿宋_GBK"/>
          <w:sz w:val="32"/>
          <w:szCs w:val="32"/>
        </w:rPr>
      </w:pPr>
      <w:r>
        <w:rPr>
          <w:rFonts w:ascii="方正仿宋_GBK" w:hAnsi="方正仿宋_GBK" w:eastAsia="方正仿宋_GBK"/>
          <w:sz w:val="32"/>
          <w:szCs w:val="32"/>
        </w:rPr>
        <w:t>截至2021年12月31日，攀枝花市科学技术协会共有车辆3辆，其中：</w:t>
      </w:r>
      <w:r>
        <w:rPr>
          <w:rFonts w:ascii="方正仿宋_GBK" w:hAnsi="方正仿宋_GBK" w:eastAsia="方正仿宋_GBK"/>
          <w:color w:val="000000"/>
          <w:sz w:val="32"/>
          <w:szCs w:val="32"/>
        </w:rPr>
        <w:t>一般公务用车2辆、特种专业技术用车1辆（科普大篷车）；单价50万元以上通用设备1台（套），为特种专业技术用车1辆（科普大篷车）；单价100万元以上专用设备0台（套）。</w:t>
      </w:r>
    </w:p>
    <w:p>
      <w:pPr>
        <w:autoSpaceDE w:val="0"/>
        <w:autoSpaceDN w:val="0"/>
        <w:adjustRightInd w:val="0"/>
        <w:spacing w:line="580" w:lineRule="exact"/>
        <w:ind w:firstLine="630" w:firstLineChars="196"/>
        <w:jc w:val="left"/>
        <w:outlineLvl w:val="2"/>
        <w:rPr>
          <w:rFonts w:eastAsia="仿宋"/>
          <w:b/>
          <w:sz w:val="32"/>
          <w:szCs w:val="32"/>
        </w:rPr>
      </w:pPr>
      <w:r>
        <w:rPr>
          <w:rFonts w:hAnsi="仿宋" w:eastAsia="仿宋"/>
          <w:b/>
          <w:sz w:val="32"/>
          <w:szCs w:val="32"/>
        </w:rPr>
        <w:t>（四）预算绩效管理情况</w:t>
      </w:r>
    </w:p>
    <w:p>
      <w:pPr>
        <w:spacing w:line="580" w:lineRule="exact"/>
        <w:ind w:firstLine="640" w:firstLineChars="200"/>
        <w:rPr>
          <w:rFonts w:ascii="方正仿宋_GBK" w:hAnsi="方正仿宋_GBK" w:eastAsia="方正仿宋_GBK"/>
          <w:sz w:val="32"/>
          <w:szCs w:val="32"/>
        </w:rPr>
      </w:pPr>
      <w:r>
        <w:rPr>
          <w:rFonts w:ascii="方正仿宋_GBK" w:hAnsi="方正仿宋_GBK" w:eastAsia="方正仿宋_GBK"/>
          <w:sz w:val="32"/>
          <w:szCs w:val="32"/>
        </w:rPr>
        <w:t>根据预算绩效管理要求，本部门在2021年度预算编制阶段，组织科普活动项目开展了预算事前绩效评估，对1个项目编制了绩效目标，预算执行过程中，选取1个项目开展绩效监控，年终执行完毕后，对1个项目开展了绩效自评。同时，本部门对2021年部门整体开展绩效自评，《攀枝花市科学技术协会2021年度部门整体支出绩效评价报告》见附件（第四部分）。</w:t>
      </w:r>
    </w:p>
    <w:p>
      <w:pPr>
        <w:pStyle w:val="2"/>
        <w:spacing w:before="93" w:line="580" w:lineRule="exact"/>
        <w:ind w:firstLine="643" w:firstLineChars="200"/>
        <w:rPr>
          <w:rFonts w:ascii="Times New Roman" w:eastAsia="仿宋"/>
          <w:b/>
          <w:kern w:val="2"/>
          <w:sz w:val="32"/>
          <w:szCs w:val="32"/>
        </w:rPr>
      </w:pPr>
      <w:r>
        <w:rPr>
          <w:rFonts w:ascii="Times New Roman" w:eastAsia="仿宋"/>
          <w:b/>
          <w:kern w:val="2"/>
          <w:sz w:val="32"/>
          <w:szCs w:val="32"/>
        </w:rPr>
        <w:t>(</w:t>
      </w:r>
      <w:r>
        <w:rPr>
          <w:rFonts w:ascii="Times New Roman" w:hAnsi="仿宋" w:eastAsia="仿宋"/>
          <w:b/>
          <w:kern w:val="2"/>
          <w:sz w:val="32"/>
          <w:szCs w:val="32"/>
        </w:rPr>
        <w:t>五</w:t>
      </w:r>
      <w:r>
        <w:rPr>
          <w:rFonts w:ascii="Times New Roman" w:eastAsia="仿宋"/>
          <w:b/>
          <w:kern w:val="2"/>
          <w:sz w:val="32"/>
          <w:szCs w:val="32"/>
        </w:rPr>
        <w:t>)</w:t>
      </w:r>
      <w:r>
        <w:rPr>
          <w:rFonts w:ascii="Times New Roman" w:hAnsi="仿宋" w:eastAsia="仿宋"/>
          <w:b/>
          <w:kern w:val="2"/>
          <w:sz w:val="32"/>
          <w:szCs w:val="32"/>
        </w:rPr>
        <w:t>其他</w:t>
      </w:r>
    </w:p>
    <w:p>
      <w:pPr>
        <w:pStyle w:val="2"/>
        <w:spacing w:before="93" w:line="580" w:lineRule="exact"/>
        <w:ind w:firstLine="640" w:firstLineChars="200"/>
        <w:rPr>
          <w:rFonts w:ascii="方正仿宋_GBK" w:hAnsi="方正仿宋_GBK" w:eastAsia="方正仿宋_GBK"/>
          <w:kern w:val="2"/>
          <w:sz w:val="32"/>
          <w:szCs w:val="32"/>
        </w:rPr>
      </w:pPr>
      <w:r>
        <w:rPr>
          <w:rFonts w:ascii="方正仿宋_GBK" w:hAnsi="方正仿宋_GBK" w:eastAsia="方正仿宋_GBK"/>
          <w:kern w:val="2"/>
          <w:sz w:val="32"/>
          <w:szCs w:val="32"/>
        </w:rPr>
        <w:t>财决公开12表《政府性基金预算财政拨款“三公”经费支出决算表》、财决公开13表《国有资本经营预算财政拨款收入支出决算表》、财决公开14表《国有资本经营预算财政拨款支出决算表》无数据。</w:t>
      </w:r>
    </w:p>
    <w:p>
      <w:pPr>
        <w:widowControl/>
        <w:jc w:val="left"/>
        <w:rPr>
          <w:rFonts w:eastAsia="仿宋_GB2312"/>
          <w:sz w:val="32"/>
          <w:szCs w:val="32"/>
        </w:rPr>
      </w:pPr>
      <w:r>
        <w:rPr>
          <w:rFonts w:eastAsia="仿宋_GB2312"/>
          <w:sz w:val="32"/>
          <w:szCs w:val="32"/>
        </w:rPr>
        <w:br w:type="page"/>
      </w:r>
    </w:p>
    <w:p>
      <w:pPr>
        <w:numPr>
          <w:ilvl w:val="0"/>
          <w:numId w:val="3"/>
        </w:numPr>
        <w:spacing w:line="600" w:lineRule="exact"/>
        <w:ind w:firstLine="660" w:firstLineChars="150"/>
        <w:jc w:val="center"/>
        <w:outlineLvl w:val="0"/>
        <w:rPr>
          <w:rStyle w:val="25"/>
          <w:rFonts w:eastAsia="黑体"/>
          <w:b w:val="0"/>
        </w:rPr>
      </w:pPr>
      <w:bookmarkStart w:id="59" w:name="_Toc15377225"/>
      <w:bookmarkStart w:id="60" w:name="_Toc15396613"/>
      <w:r>
        <w:rPr>
          <w:rFonts w:hAnsi="黑体" w:eastAsia="黑体"/>
          <w:sz w:val="44"/>
          <w:szCs w:val="44"/>
        </w:rPr>
        <w:t>名</w:t>
      </w:r>
      <w:r>
        <w:rPr>
          <w:rStyle w:val="25"/>
          <w:rFonts w:hAnsi="黑体" w:eastAsia="黑体"/>
          <w:b w:val="0"/>
        </w:rPr>
        <w:t>词解释</w:t>
      </w:r>
      <w:bookmarkEnd w:id="59"/>
      <w:bookmarkEnd w:id="60"/>
    </w:p>
    <w:p>
      <w:pPr>
        <w:spacing w:line="600" w:lineRule="exact"/>
        <w:jc w:val="left"/>
        <w:rPr>
          <w:b/>
          <w:sz w:val="44"/>
          <w:szCs w:val="44"/>
        </w:rPr>
      </w:pPr>
    </w:p>
    <w:p>
      <w:pPr>
        <w:pStyle w:val="23"/>
        <w:spacing w:line="560" w:lineRule="exact"/>
        <w:ind w:firstLine="640" w:firstLineChars="200"/>
        <w:rPr>
          <w:rFonts w:ascii="方正仿宋_GBK" w:hAnsi="方正仿宋_GBK" w:eastAsia="方正仿宋_GBK" w:cs="Times New Roman"/>
          <w:color w:val="auto"/>
          <w:kern w:val="2"/>
          <w:sz w:val="32"/>
          <w:szCs w:val="32"/>
        </w:rPr>
      </w:pPr>
      <w:r>
        <w:rPr>
          <w:rFonts w:ascii="方正仿宋_GBK" w:hAnsi="方正仿宋_GBK" w:eastAsia="方正仿宋_GBK" w:cs="Times New Roman"/>
          <w:color w:val="auto"/>
          <w:kern w:val="2"/>
          <w:sz w:val="32"/>
          <w:szCs w:val="32"/>
        </w:rPr>
        <w:t>1.财政拨款收入：指单位从同级财政部门取得的财政预算资金。</w:t>
      </w:r>
    </w:p>
    <w:p>
      <w:pPr>
        <w:pStyle w:val="23"/>
        <w:spacing w:line="560" w:lineRule="exact"/>
        <w:ind w:firstLine="640" w:firstLineChars="200"/>
        <w:rPr>
          <w:rFonts w:ascii="方正仿宋_GBK" w:hAnsi="方正仿宋_GBK" w:eastAsia="方正仿宋_GBK" w:cs="Times New Roman"/>
          <w:color w:val="auto"/>
          <w:kern w:val="2"/>
          <w:sz w:val="32"/>
          <w:szCs w:val="32"/>
        </w:rPr>
      </w:pPr>
      <w:r>
        <w:rPr>
          <w:rFonts w:ascii="方正仿宋_GBK" w:hAnsi="方正仿宋_GBK" w:eastAsia="方正仿宋_GBK" w:cs="Times New Roman"/>
          <w:color w:val="auto"/>
          <w:kern w:val="2"/>
          <w:sz w:val="32"/>
          <w:szCs w:val="32"/>
        </w:rPr>
        <w:t>2.事业收入：指事业单位开展专业业务活动及辅助活动取得的收入。市科协无。</w:t>
      </w:r>
    </w:p>
    <w:p>
      <w:pPr>
        <w:pStyle w:val="23"/>
        <w:spacing w:line="560" w:lineRule="exact"/>
        <w:ind w:firstLine="640" w:firstLineChars="200"/>
        <w:rPr>
          <w:rFonts w:ascii="方正仿宋_GBK" w:hAnsi="方正仿宋_GBK" w:eastAsia="方正仿宋_GBK" w:cs="Times New Roman"/>
          <w:color w:val="auto"/>
          <w:kern w:val="2"/>
          <w:sz w:val="32"/>
          <w:szCs w:val="32"/>
        </w:rPr>
      </w:pPr>
      <w:r>
        <w:rPr>
          <w:rFonts w:ascii="方正仿宋_GBK" w:hAnsi="方正仿宋_GBK" w:eastAsia="方正仿宋_GBK" w:cs="Times New Roman"/>
          <w:color w:val="auto"/>
          <w:kern w:val="2"/>
          <w:sz w:val="32"/>
          <w:szCs w:val="32"/>
        </w:rPr>
        <w:t>3.经营收入：指事业单位在专业业务活动及其辅助活动之外开展非独立核算经营活动取得的收入。市科协无。</w:t>
      </w:r>
    </w:p>
    <w:p>
      <w:pPr>
        <w:pStyle w:val="23"/>
        <w:spacing w:line="560" w:lineRule="exact"/>
        <w:ind w:firstLine="640" w:firstLineChars="200"/>
        <w:rPr>
          <w:rFonts w:ascii="方正仿宋_GBK" w:hAnsi="方正仿宋_GBK" w:eastAsia="方正仿宋_GBK" w:cs="Times New Roman"/>
          <w:color w:val="auto"/>
          <w:kern w:val="2"/>
          <w:sz w:val="32"/>
          <w:szCs w:val="32"/>
        </w:rPr>
      </w:pPr>
      <w:r>
        <w:rPr>
          <w:rFonts w:ascii="方正仿宋_GBK" w:hAnsi="方正仿宋_GBK" w:eastAsia="方正仿宋_GBK" w:cs="Times New Roman"/>
          <w:color w:val="auto"/>
          <w:kern w:val="2"/>
          <w:sz w:val="32"/>
          <w:szCs w:val="32"/>
        </w:rPr>
        <w:t xml:space="preserve">4.其他收入：指单位取得的除上述收入以外的各项收入。主要是银行利息收入等。 </w:t>
      </w:r>
    </w:p>
    <w:p>
      <w:pPr>
        <w:pStyle w:val="23"/>
        <w:spacing w:line="560" w:lineRule="exact"/>
        <w:ind w:firstLine="640" w:firstLineChars="200"/>
        <w:rPr>
          <w:rFonts w:ascii="方正仿宋_GBK" w:hAnsi="方正仿宋_GBK" w:eastAsia="方正仿宋_GBK" w:cs="Times New Roman"/>
          <w:color w:val="auto"/>
          <w:kern w:val="2"/>
          <w:sz w:val="32"/>
          <w:szCs w:val="32"/>
        </w:rPr>
      </w:pPr>
      <w:r>
        <w:rPr>
          <w:rFonts w:ascii="方正仿宋_GBK" w:hAnsi="方正仿宋_GBK" w:eastAsia="方正仿宋_GBK" w:cs="Times New Roman"/>
          <w:color w:val="auto"/>
          <w:kern w:val="2"/>
          <w:sz w:val="32"/>
          <w:szCs w:val="32"/>
        </w:rPr>
        <w:t xml:space="preserve">5.使用非财政拨款结余：指事业单位使用以前年度积累的非财政拨款结余弥补当年收支差额的金额。市科协无。 </w:t>
      </w:r>
    </w:p>
    <w:p>
      <w:pPr>
        <w:pStyle w:val="23"/>
        <w:spacing w:line="560" w:lineRule="exact"/>
        <w:ind w:firstLine="640" w:firstLineChars="200"/>
        <w:rPr>
          <w:rFonts w:ascii="方正仿宋_GBK" w:hAnsi="方正仿宋_GBK" w:eastAsia="方正仿宋_GBK" w:cs="Times New Roman"/>
          <w:color w:val="auto"/>
          <w:kern w:val="2"/>
          <w:sz w:val="32"/>
          <w:szCs w:val="32"/>
        </w:rPr>
      </w:pPr>
      <w:r>
        <w:rPr>
          <w:rFonts w:ascii="方正仿宋_GBK" w:hAnsi="方正仿宋_GBK" w:eastAsia="方正仿宋_GBK" w:cs="Times New Roman"/>
          <w:color w:val="auto"/>
          <w:kern w:val="2"/>
          <w:sz w:val="32"/>
          <w:szCs w:val="32"/>
        </w:rPr>
        <w:t xml:space="preserve">6.年初结转和结余：指以前年度尚未完成、结转到本年按有关规定继续使用的资金。 </w:t>
      </w:r>
    </w:p>
    <w:p>
      <w:pPr>
        <w:pStyle w:val="23"/>
        <w:spacing w:line="560" w:lineRule="exact"/>
        <w:ind w:firstLine="640" w:firstLineChars="200"/>
        <w:rPr>
          <w:rFonts w:ascii="方正仿宋_GBK" w:hAnsi="方正仿宋_GBK" w:eastAsia="方正仿宋_GBK" w:cs="Times New Roman"/>
          <w:color w:val="auto"/>
          <w:kern w:val="2"/>
          <w:sz w:val="32"/>
          <w:szCs w:val="32"/>
        </w:rPr>
      </w:pPr>
      <w:r>
        <w:rPr>
          <w:rFonts w:ascii="方正仿宋_GBK" w:hAnsi="方正仿宋_GBK" w:eastAsia="方正仿宋_GBK" w:cs="Times New Roman"/>
          <w:color w:val="auto"/>
          <w:kern w:val="2"/>
          <w:sz w:val="32"/>
          <w:szCs w:val="32"/>
        </w:rPr>
        <w:t>7.结余分配：指事业单位按照事业单位会计制度的规定从非财政补助结余中分配的事业基金和职工福利基金等。市科协无。</w:t>
      </w:r>
    </w:p>
    <w:p>
      <w:pPr>
        <w:pStyle w:val="23"/>
        <w:spacing w:line="560" w:lineRule="exact"/>
        <w:ind w:firstLine="640" w:firstLineChars="200"/>
        <w:rPr>
          <w:rFonts w:ascii="方正仿宋_GBK" w:hAnsi="方正仿宋_GBK" w:eastAsia="方正仿宋_GBK" w:cs="Times New Roman"/>
          <w:color w:val="auto"/>
          <w:kern w:val="2"/>
          <w:sz w:val="32"/>
          <w:szCs w:val="32"/>
        </w:rPr>
      </w:pPr>
      <w:r>
        <w:rPr>
          <w:rFonts w:ascii="方正仿宋_GBK" w:hAnsi="方正仿宋_GBK" w:eastAsia="方正仿宋_GBK" w:cs="Times New Roman"/>
          <w:color w:val="auto"/>
          <w:kern w:val="2"/>
          <w:sz w:val="32"/>
          <w:szCs w:val="32"/>
        </w:rPr>
        <w:t>8.年末结转和结余：指单位按有关规定结转到下年或以后年度继续使用的资金。</w:t>
      </w:r>
    </w:p>
    <w:p>
      <w:pPr>
        <w:spacing w:line="600" w:lineRule="exact"/>
        <w:ind w:firstLine="640" w:firstLineChars="200"/>
        <w:rPr>
          <w:rFonts w:ascii="方正仿宋_GBK" w:hAnsi="方正仿宋_GBK" w:eastAsia="方正仿宋_GBK"/>
          <w:sz w:val="32"/>
          <w:szCs w:val="32"/>
        </w:rPr>
      </w:pPr>
      <w:r>
        <w:rPr>
          <w:rFonts w:ascii="方正仿宋_GBK" w:hAnsi="方正仿宋_GBK" w:eastAsia="方正仿宋_GBK"/>
          <w:sz w:val="32"/>
          <w:szCs w:val="32"/>
        </w:rPr>
        <w:t>9.一般公共服务支出（201类）人力资源事务（10款）其他人力资源事务支出（99项），指除上述项目以外其他人力资源事务方面的支出。</w:t>
      </w:r>
    </w:p>
    <w:p>
      <w:pPr>
        <w:spacing w:line="600" w:lineRule="exact"/>
        <w:ind w:firstLine="640" w:firstLineChars="200"/>
        <w:rPr>
          <w:rFonts w:ascii="方正仿宋_GBK" w:hAnsi="方正仿宋_GBK" w:eastAsia="方正仿宋_GBK"/>
          <w:sz w:val="32"/>
          <w:szCs w:val="32"/>
        </w:rPr>
      </w:pPr>
      <w:r>
        <w:rPr>
          <w:rFonts w:ascii="方正仿宋_GBK" w:hAnsi="方正仿宋_GBK" w:eastAsia="方正仿宋_GBK"/>
          <w:sz w:val="32"/>
          <w:szCs w:val="32"/>
        </w:rPr>
        <w:t>10.科学技术支出（206类）科学技术管理事务（01款）行政运行（01项）,指行政单位（包括实行公务员管理的事业单位）的基本支出。</w:t>
      </w:r>
    </w:p>
    <w:p>
      <w:pPr>
        <w:spacing w:line="600" w:lineRule="exact"/>
        <w:ind w:firstLine="640" w:firstLineChars="200"/>
        <w:rPr>
          <w:rFonts w:ascii="方正仿宋_GBK" w:hAnsi="方正仿宋_GBK" w:eastAsia="方正仿宋_GBK"/>
          <w:sz w:val="32"/>
          <w:szCs w:val="32"/>
        </w:rPr>
      </w:pPr>
      <w:r>
        <w:rPr>
          <w:rFonts w:ascii="方正仿宋_GBK" w:hAnsi="方正仿宋_GBK" w:eastAsia="方正仿宋_GBK"/>
          <w:sz w:val="32"/>
          <w:szCs w:val="32"/>
        </w:rPr>
        <w:t>11.科学技术支出（206类）科学技术管理事务（01款）一般行政管理事务（02项）,指行政单位（包括实行公务员管理的事业单位）未单独设置项目科目的其他项目支出。</w:t>
      </w:r>
    </w:p>
    <w:p>
      <w:pPr>
        <w:spacing w:line="600" w:lineRule="exact"/>
        <w:ind w:firstLine="640" w:firstLineChars="200"/>
        <w:rPr>
          <w:rFonts w:ascii="方正仿宋_GBK" w:hAnsi="方正仿宋_GBK" w:eastAsia="方正仿宋_GBK"/>
          <w:sz w:val="32"/>
          <w:szCs w:val="32"/>
        </w:rPr>
      </w:pPr>
      <w:r>
        <w:rPr>
          <w:rFonts w:ascii="方正仿宋_GBK" w:hAnsi="方正仿宋_GBK" w:eastAsia="方正仿宋_GBK"/>
          <w:sz w:val="32"/>
          <w:szCs w:val="32"/>
        </w:rPr>
        <w:t>12.科学技术支出（206类）科学技术普及（07款）机构运行（01项），指科普事业单位的基本支出。</w:t>
      </w:r>
    </w:p>
    <w:p>
      <w:pPr>
        <w:spacing w:line="600" w:lineRule="exact"/>
        <w:ind w:firstLine="640" w:firstLineChars="200"/>
        <w:rPr>
          <w:rFonts w:ascii="方正仿宋_GBK" w:hAnsi="方正仿宋_GBK" w:eastAsia="方正仿宋_GBK"/>
          <w:sz w:val="32"/>
          <w:szCs w:val="32"/>
        </w:rPr>
      </w:pPr>
      <w:r>
        <w:rPr>
          <w:rFonts w:ascii="方正仿宋_GBK" w:hAnsi="方正仿宋_GBK" w:eastAsia="方正仿宋_GBK"/>
          <w:sz w:val="32"/>
          <w:szCs w:val="32"/>
        </w:rPr>
        <w:t>13.科学技术支出（206类）科学技术普及（07款）科普活动（02项），指用于开展科普活动的支出。</w:t>
      </w:r>
    </w:p>
    <w:p>
      <w:pPr>
        <w:spacing w:line="600" w:lineRule="exact"/>
        <w:ind w:firstLine="640" w:firstLineChars="200"/>
        <w:rPr>
          <w:rFonts w:ascii="方正仿宋_GBK" w:hAnsi="方正仿宋_GBK" w:eastAsia="方正仿宋_GBK"/>
          <w:sz w:val="32"/>
          <w:szCs w:val="32"/>
        </w:rPr>
      </w:pPr>
      <w:r>
        <w:rPr>
          <w:rFonts w:ascii="方正仿宋_GBK" w:hAnsi="方正仿宋_GBK" w:eastAsia="方正仿宋_GBK"/>
          <w:sz w:val="32"/>
          <w:szCs w:val="32"/>
        </w:rPr>
        <w:t>14.科学技术支出（206类）科学技术普及（07款）其他科学技术普及支出（99项），指除该类别下其他用于科学技术普及方面的支出。</w:t>
      </w:r>
    </w:p>
    <w:p>
      <w:pPr>
        <w:spacing w:line="600" w:lineRule="exact"/>
        <w:ind w:firstLine="640" w:firstLineChars="200"/>
        <w:rPr>
          <w:rFonts w:ascii="方正仿宋_GBK" w:hAnsi="方正仿宋_GBK" w:eastAsia="方正仿宋_GBK"/>
          <w:sz w:val="32"/>
          <w:szCs w:val="32"/>
        </w:rPr>
      </w:pPr>
      <w:r>
        <w:rPr>
          <w:rFonts w:ascii="方正仿宋_GBK" w:hAnsi="方正仿宋_GBK" w:eastAsia="方正仿宋_GBK"/>
          <w:sz w:val="32"/>
          <w:szCs w:val="32"/>
        </w:rPr>
        <w:t>15.科学技术支出（206类）科技交流与合作（08款）其他科技交流与合作支出（99项），反映该类别下其他用于科技交流与合作方面的支出。</w:t>
      </w:r>
    </w:p>
    <w:p>
      <w:pPr>
        <w:spacing w:line="600" w:lineRule="exact"/>
        <w:ind w:firstLine="640" w:firstLineChars="200"/>
        <w:rPr>
          <w:rFonts w:ascii="方正仿宋_GBK" w:hAnsi="方正仿宋_GBK" w:eastAsia="方正仿宋_GBK"/>
          <w:sz w:val="32"/>
          <w:szCs w:val="32"/>
        </w:rPr>
      </w:pPr>
      <w:r>
        <w:rPr>
          <w:rFonts w:ascii="方正仿宋_GBK" w:hAnsi="方正仿宋_GBK" w:eastAsia="方正仿宋_GBK"/>
          <w:sz w:val="32"/>
          <w:szCs w:val="32"/>
        </w:rPr>
        <w:t>16.社会保障和就业支出（208类）行政事业单位离退休（05款）未归口管理的行政单位离退休（04项），指未实行归口管理的行政单位（包括实行公务员管理的事业单位）开支的离退休支出。</w:t>
      </w:r>
    </w:p>
    <w:p>
      <w:pPr>
        <w:spacing w:line="600" w:lineRule="exact"/>
        <w:ind w:firstLine="640" w:firstLineChars="200"/>
        <w:rPr>
          <w:rFonts w:ascii="方正仿宋_GBK" w:hAnsi="方正仿宋_GBK" w:eastAsia="方正仿宋_GBK"/>
          <w:sz w:val="32"/>
          <w:szCs w:val="32"/>
        </w:rPr>
      </w:pPr>
      <w:r>
        <w:rPr>
          <w:rFonts w:ascii="方正仿宋_GBK" w:hAnsi="方正仿宋_GBK" w:eastAsia="方正仿宋_GBK"/>
          <w:sz w:val="32"/>
          <w:szCs w:val="32"/>
        </w:rPr>
        <w:t>17.社会保障和就业支出（208类）行政事业单位离退休（05款）机关事业单位基本养老保险缴费支出（05项），指机关事业单位实施养老保险制度由单位缴纳的基本养老保险费支出。</w:t>
      </w:r>
    </w:p>
    <w:p>
      <w:pPr>
        <w:ind w:firstLine="640" w:firstLineChars="200"/>
        <w:rPr>
          <w:rFonts w:ascii="方正仿宋_GBK" w:hAnsi="方正仿宋_GBK" w:eastAsia="方正仿宋_GBK"/>
          <w:sz w:val="32"/>
          <w:szCs w:val="32"/>
        </w:rPr>
      </w:pPr>
      <w:r>
        <w:rPr>
          <w:rFonts w:ascii="方正仿宋_GBK" w:hAnsi="方正仿宋_GBK" w:eastAsia="方正仿宋_GBK"/>
          <w:sz w:val="32"/>
          <w:szCs w:val="32"/>
        </w:rPr>
        <w:t>18.社会保障和就业支出（208类）抚恤（08）死亡抚恤（01），指按规定用于烈士和牺牲、病故人员家属的一次性和定期抚恤金以及丧葬补助费。</w:t>
      </w:r>
    </w:p>
    <w:p>
      <w:pPr>
        <w:ind w:firstLine="640" w:firstLineChars="200"/>
        <w:rPr>
          <w:rFonts w:ascii="方正仿宋_GBK" w:hAnsi="方正仿宋_GBK" w:eastAsia="方正仿宋_GBK"/>
          <w:sz w:val="32"/>
          <w:szCs w:val="32"/>
        </w:rPr>
      </w:pPr>
      <w:r>
        <w:rPr>
          <w:rFonts w:ascii="方正仿宋_GBK" w:hAnsi="方正仿宋_GBK" w:eastAsia="方正仿宋_GBK"/>
          <w:sz w:val="32"/>
          <w:szCs w:val="32"/>
        </w:rPr>
        <w:t>19.社会保障和就业支出（208类）社会福利（10款）儿童福利 （01项），指对儿童提供福利服务方面的支出。</w:t>
      </w:r>
      <w:r>
        <w:rPr>
          <w:rFonts w:ascii="方正仿宋_GBK" w:hAnsi="方正仿宋_GBK" w:eastAsia="方正仿宋_GBK"/>
          <w:sz w:val="32"/>
          <w:szCs w:val="32"/>
        </w:rPr>
        <w:br w:type="textWrapping"/>
      </w:r>
      <w:r>
        <w:rPr>
          <w:rFonts w:ascii="方正仿宋_GBK" w:hAnsi="方正仿宋_GBK" w:eastAsia="方正仿宋_GBK"/>
          <w:sz w:val="32"/>
          <w:szCs w:val="32"/>
        </w:rPr>
        <w:t xml:space="preserve">    20.住房保障支出（221类）住房改革支出（02款）住房公积金（01项），指行政事业单位按人力资源和社会保障部、财政部规定的基本工资和津贴补贴以及规定比例为职工缴纳的住房公积金。</w:t>
      </w:r>
    </w:p>
    <w:p>
      <w:pPr>
        <w:ind w:firstLine="640" w:firstLineChars="200"/>
        <w:rPr>
          <w:rFonts w:ascii="方正仿宋_GBK" w:hAnsi="方正仿宋_GBK" w:eastAsia="方正仿宋_GBK"/>
          <w:sz w:val="32"/>
          <w:szCs w:val="32"/>
        </w:rPr>
      </w:pPr>
      <w:r>
        <w:rPr>
          <w:rFonts w:ascii="方正仿宋_GBK" w:hAnsi="方正仿宋_GBK" w:eastAsia="方正仿宋_GBK"/>
          <w:sz w:val="32"/>
          <w:szCs w:val="32"/>
        </w:rPr>
        <w:t>21.基本支出：指为保障机构正常运转、完成日常工作任务而发生的人员支出和公用支出。</w:t>
      </w:r>
    </w:p>
    <w:p>
      <w:pPr>
        <w:ind w:firstLine="640" w:firstLineChars="200"/>
        <w:rPr>
          <w:rFonts w:ascii="方正仿宋_GBK" w:hAnsi="方正仿宋_GBK" w:eastAsia="方正仿宋_GBK"/>
          <w:sz w:val="32"/>
          <w:szCs w:val="32"/>
        </w:rPr>
      </w:pPr>
      <w:r>
        <w:rPr>
          <w:rFonts w:ascii="方正仿宋_GBK" w:hAnsi="方正仿宋_GBK" w:eastAsia="方正仿宋_GBK"/>
          <w:sz w:val="32"/>
          <w:szCs w:val="32"/>
        </w:rPr>
        <w:t xml:space="preserve">25.项目支出：指在基本支出之外为完成特定行政任务和事业发展目标所发生的支出。 </w:t>
      </w:r>
    </w:p>
    <w:p>
      <w:pPr>
        <w:ind w:firstLine="640" w:firstLineChars="200"/>
        <w:rPr>
          <w:rFonts w:ascii="方正仿宋_GBK" w:hAnsi="方正仿宋_GBK" w:eastAsia="方正仿宋_GBK"/>
          <w:sz w:val="32"/>
          <w:szCs w:val="32"/>
        </w:rPr>
      </w:pPr>
      <w:r>
        <w:rPr>
          <w:rFonts w:ascii="方正仿宋_GBK" w:hAnsi="方正仿宋_GBK" w:eastAsia="方正仿宋_GBK"/>
          <w:sz w:val="32"/>
          <w:szCs w:val="32"/>
        </w:rPr>
        <w:t>23.经营支出：指事业单位在专业业务活动及其辅助活动之外开展非独立核算经营活动发生的支出。市科协无。</w:t>
      </w:r>
    </w:p>
    <w:p>
      <w:pPr>
        <w:pStyle w:val="23"/>
        <w:spacing w:line="560" w:lineRule="exact"/>
        <w:ind w:firstLine="640" w:firstLineChars="200"/>
        <w:rPr>
          <w:rFonts w:ascii="方正仿宋_GBK" w:hAnsi="方正仿宋_GBK" w:eastAsia="方正仿宋_GBK" w:cs="Times New Roman"/>
          <w:color w:val="auto"/>
          <w:kern w:val="2"/>
          <w:sz w:val="32"/>
          <w:szCs w:val="32"/>
        </w:rPr>
      </w:pPr>
      <w:r>
        <w:rPr>
          <w:rFonts w:ascii="方正仿宋_GBK" w:hAnsi="方正仿宋_GBK" w:eastAsia="方正仿宋_GBK" w:cs="Times New Roman"/>
          <w:color w:val="auto"/>
          <w:kern w:val="2"/>
          <w:sz w:val="32"/>
          <w:szCs w:val="32"/>
        </w:rPr>
        <w:t>24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费、保险费等支出；公务接待费反映单位按规定开支的各类公务接待（含外宾接待）支出。</w:t>
      </w:r>
    </w:p>
    <w:p>
      <w:pPr>
        <w:spacing w:line="600" w:lineRule="exact"/>
        <w:jc w:val="left"/>
        <w:outlineLvl w:val="0"/>
        <w:rPr>
          <w:rFonts w:ascii="方正仿宋_GBK" w:hAnsi="方正仿宋_GBK" w:eastAsia="方正仿宋_GBK"/>
          <w:sz w:val="32"/>
          <w:szCs w:val="32"/>
        </w:rPr>
      </w:pPr>
      <w:r>
        <w:rPr>
          <w:rFonts w:ascii="方正仿宋_GBK" w:hAnsi="方正仿宋_GBK" w:eastAsia="方正仿宋_GBK"/>
          <w:sz w:val="32"/>
          <w:szCs w:val="32"/>
        </w:rPr>
        <w:t xml:space="preserve">    25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eastAsia="仿宋"/>
          <w:b/>
          <w:sz w:val="32"/>
          <w:szCs w:val="32"/>
        </w:rPr>
      </w:pPr>
    </w:p>
    <w:p>
      <w:pPr>
        <w:spacing w:line="580" w:lineRule="exact"/>
        <w:jc w:val="center"/>
        <w:outlineLvl w:val="0"/>
        <w:rPr>
          <w:rStyle w:val="25"/>
          <w:rFonts w:eastAsia="黑体"/>
          <w:b w:val="0"/>
        </w:rPr>
      </w:pPr>
      <w:bookmarkStart w:id="61" w:name="_Toc15377226"/>
      <w:r>
        <w:rPr>
          <w:b/>
          <w:sz w:val="44"/>
          <w:szCs w:val="44"/>
        </w:rPr>
        <w:br w:type="page"/>
      </w:r>
      <w:bookmarkStart w:id="62" w:name="_Toc15396614"/>
      <w:r>
        <w:rPr>
          <w:rFonts w:hAnsi="黑体" w:eastAsia="黑体"/>
          <w:sz w:val="44"/>
          <w:szCs w:val="44"/>
        </w:rPr>
        <w:t>第</w:t>
      </w:r>
      <w:r>
        <w:rPr>
          <w:rStyle w:val="25"/>
          <w:rFonts w:hAnsi="黑体" w:eastAsia="黑体"/>
          <w:b w:val="0"/>
        </w:rPr>
        <w:t>四部分附件</w:t>
      </w:r>
      <w:bookmarkEnd w:id="62"/>
    </w:p>
    <w:p>
      <w:pPr>
        <w:spacing w:line="580" w:lineRule="exact"/>
        <w:jc w:val="left"/>
        <w:outlineLvl w:val="0"/>
        <w:rPr>
          <w:rFonts w:eastAsia="方正小标宋简体"/>
          <w:sz w:val="44"/>
          <w:szCs w:val="44"/>
        </w:rPr>
      </w:pPr>
      <w:r>
        <w:rPr>
          <w:rFonts w:hAnsi="黑体" w:eastAsia="黑体"/>
          <w:sz w:val="32"/>
          <w:szCs w:val="32"/>
        </w:rPr>
        <w:t>附件</w:t>
      </w:r>
      <w:r>
        <w:rPr>
          <w:rFonts w:hint="eastAsia" w:hAnsi="黑体" w:eastAsia="黑体"/>
          <w:sz w:val="32"/>
          <w:szCs w:val="32"/>
        </w:rPr>
        <w:t>1</w:t>
      </w:r>
    </w:p>
    <w:p>
      <w:pPr>
        <w:spacing w:line="580" w:lineRule="exact"/>
        <w:jc w:val="center"/>
        <w:rPr>
          <w:rFonts w:eastAsia="方正小标宋简体"/>
          <w:kern w:val="0"/>
          <w:sz w:val="40"/>
          <w:szCs w:val="44"/>
        </w:rPr>
      </w:pPr>
      <w:r>
        <w:rPr>
          <w:rFonts w:eastAsia="方正小标宋简体"/>
          <w:kern w:val="0"/>
          <w:sz w:val="40"/>
          <w:szCs w:val="44"/>
        </w:rPr>
        <w:t>攀枝花市科学技术协会</w:t>
      </w:r>
    </w:p>
    <w:p>
      <w:pPr>
        <w:spacing w:line="580" w:lineRule="exact"/>
        <w:jc w:val="center"/>
        <w:rPr>
          <w:rFonts w:eastAsia="方正小标宋简体"/>
          <w:kern w:val="0"/>
          <w:sz w:val="40"/>
          <w:szCs w:val="44"/>
          <w:lang w:val="zh-CN"/>
        </w:rPr>
      </w:pPr>
      <w:r>
        <w:rPr>
          <w:rFonts w:eastAsia="方正小标宋简体"/>
          <w:kern w:val="0"/>
          <w:sz w:val="40"/>
          <w:szCs w:val="44"/>
        </w:rPr>
        <w:t>2021年度部门整体支出绩效评价报告</w:t>
      </w:r>
    </w:p>
    <w:p>
      <w:pPr>
        <w:widowControl/>
        <w:adjustRightInd w:val="0"/>
        <w:snapToGrid w:val="0"/>
        <w:spacing w:line="580" w:lineRule="exact"/>
        <w:ind w:firstLine="640" w:firstLineChars="200"/>
        <w:contextualSpacing/>
        <w:jc w:val="left"/>
        <w:rPr>
          <w:rFonts w:eastAsia="黑体"/>
          <w:kern w:val="0"/>
          <w:sz w:val="32"/>
          <w:szCs w:val="32"/>
          <w:shd w:val="clear" w:color="auto" w:fill="FFFFFF"/>
        </w:rPr>
      </w:pPr>
    </w:p>
    <w:p>
      <w:pPr>
        <w:widowControl/>
        <w:adjustRightInd w:val="0"/>
        <w:snapToGrid w:val="0"/>
        <w:spacing w:line="580" w:lineRule="exact"/>
        <w:ind w:firstLine="640" w:firstLineChars="200"/>
        <w:contextualSpacing/>
        <w:jc w:val="left"/>
        <w:rPr>
          <w:rFonts w:eastAsia="黑体"/>
          <w:kern w:val="0"/>
          <w:sz w:val="32"/>
          <w:szCs w:val="32"/>
          <w:shd w:val="clear" w:color="auto" w:fill="FFFFFF"/>
          <w:lang w:val="zh-CN"/>
        </w:rPr>
      </w:pPr>
      <w:r>
        <w:rPr>
          <w:rFonts w:eastAsia="黑体"/>
          <w:kern w:val="0"/>
          <w:sz w:val="32"/>
          <w:szCs w:val="32"/>
          <w:shd w:val="clear" w:color="auto" w:fill="FFFFFF"/>
        </w:rPr>
        <w:t>一、</w:t>
      </w:r>
      <w:r>
        <w:rPr>
          <w:rFonts w:eastAsia="黑体"/>
          <w:kern w:val="0"/>
          <w:sz w:val="32"/>
          <w:szCs w:val="32"/>
          <w:shd w:val="clear" w:color="auto" w:fill="FFFFFF"/>
          <w:lang w:val="zh-CN"/>
        </w:rPr>
        <w:t>部门（单位）概况</w:t>
      </w:r>
    </w:p>
    <w:p>
      <w:pPr>
        <w:spacing w:line="580" w:lineRule="exact"/>
        <w:ind w:firstLine="640" w:firstLineChars="200"/>
        <w:rPr>
          <w:rFonts w:eastAsia="方正楷体_GBK"/>
          <w:kern w:val="0"/>
          <w:sz w:val="32"/>
          <w:szCs w:val="32"/>
          <w:shd w:val="clear" w:color="auto" w:fill="FFFFFF"/>
          <w:lang w:val="zh-CN"/>
        </w:rPr>
      </w:pPr>
      <w:r>
        <w:rPr>
          <w:rFonts w:hAnsi="方正楷体_GBK" w:eastAsia="方正楷体_GBK"/>
          <w:kern w:val="0"/>
          <w:sz w:val="32"/>
          <w:szCs w:val="32"/>
          <w:shd w:val="clear" w:color="auto" w:fill="FFFFFF"/>
          <w:lang w:val="zh-CN"/>
        </w:rPr>
        <w:t>（一）机构组成</w:t>
      </w:r>
    </w:p>
    <w:p>
      <w:pPr>
        <w:spacing w:line="580" w:lineRule="exact"/>
        <w:ind w:firstLine="640" w:firstLineChars="200"/>
        <w:rPr>
          <w:rFonts w:ascii="方正仿宋_GBK" w:hAnsi="方正仿宋_GBK" w:eastAsia="方正仿宋_GBK"/>
          <w:sz w:val="32"/>
          <w:szCs w:val="32"/>
        </w:rPr>
      </w:pPr>
      <w:r>
        <w:rPr>
          <w:rFonts w:ascii="方正仿宋_GBK" w:hAnsi="方正仿宋_GBK" w:eastAsia="方正仿宋_GBK"/>
          <w:sz w:val="32"/>
          <w:szCs w:val="32"/>
        </w:rPr>
        <w:t>市科协内设办公室、学会和企事业科协工作部、科学技术普及部、科技创新发展服务部4个职能机构；增设市《全民科学素质行动计划纲要》办公室、市反邪教协会办公室、市科协关心下一代工作委员会、市天府科技云服务中心4个工作机构；下属2个全额拨款事业单位：攀枝花市院士专家服务中心（攀枝花市科技创新转化服务中心）、攀枝花市科技馆（攀枝花市青少年科技教育活动中心）。市科协下属独立编制全额拨款事业单位因人员较少未独立核算，与市科协机关合并执行政府会计制度，分列预算收支科目，按照单户上报决算。</w:t>
      </w:r>
    </w:p>
    <w:p>
      <w:pPr>
        <w:widowControl/>
        <w:shd w:val="clear" w:color="auto" w:fill="FFFFFF"/>
        <w:spacing w:line="580" w:lineRule="exact"/>
        <w:ind w:firstLine="680"/>
        <w:rPr>
          <w:rFonts w:eastAsia="方正楷体_GBK"/>
          <w:kern w:val="0"/>
          <w:sz w:val="32"/>
          <w:szCs w:val="32"/>
          <w:shd w:val="clear" w:color="auto" w:fill="FFFFFF"/>
          <w:lang w:val="zh-CN"/>
        </w:rPr>
      </w:pPr>
      <w:r>
        <w:rPr>
          <w:rFonts w:hAnsi="方正楷体_GBK" w:eastAsia="方正楷体_GBK"/>
          <w:kern w:val="0"/>
          <w:sz w:val="32"/>
          <w:szCs w:val="32"/>
          <w:shd w:val="clear" w:color="auto" w:fill="FFFFFF"/>
          <w:lang w:val="zh-CN"/>
        </w:rPr>
        <w:t>（二）机构职能</w:t>
      </w:r>
    </w:p>
    <w:p>
      <w:pPr>
        <w:widowControl/>
        <w:shd w:val="clear" w:color="auto" w:fill="FFFFFF"/>
        <w:spacing w:line="580" w:lineRule="exact"/>
        <w:ind w:firstLine="680"/>
        <w:rPr>
          <w:rFonts w:eastAsia="方正仿宋_GBK"/>
          <w:spacing w:val="-4"/>
          <w:kern w:val="0"/>
          <w:sz w:val="32"/>
          <w:szCs w:val="32"/>
        </w:rPr>
      </w:pPr>
      <w:r>
        <w:rPr>
          <w:rFonts w:eastAsia="方正仿宋_GBK"/>
          <w:spacing w:val="-4"/>
          <w:kern w:val="0"/>
          <w:sz w:val="32"/>
          <w:szCs w:val="32"/>
        </w:rPr>
        <w:t>攀枝花市科学技术协会是攀枝花市科学技术工作者的群众组织，是中国共产党攀枝花市委员会领导下的人民团体，是党和政府联系科学技术工作者的桥梁和纽带，是推动科学技术事业发展的重要力量。其主要工作任务是：</w:t>
      </w:r>
    </w:p>
    <w:p>
      <w:pPr>
        <w:widowControl/>
        <w:shd w:val="clear" w:color="auto" w:fill="FFFFFF"/>
        <w:spacing w:line="580" w:lineRule="exact"/>
        <w:ind w:firstLine="68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1．密切联系科学技术工作者，宣传党的路线方针政策，反映科学技术工作者的建议、意见和诉求，维护科学技术工作者的合法权益，建设科技工作者之家。</w:t>
      </w:r>
    </w:p>
    <w:p>
      <w:pPr>
        <w:widowControl/>
        <w:shd w:val="clear" w:color="auto" w:fill="FFFFFF"/>
        <w:spacing w:line="580" w:lineRule="exact"/>
        <w:ind w:firstLine="68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2．开展学术交流，活跃学术思想，倡导学术民主，优化学术环境，促进学科发展，推进创新体系建设。</w:t>
      </w:r>
    </w:p>
    <w:p>
      <w:pPr>
        <w:widowControl/>
        <w:shd w:val="clear" w:color="auto" w:fill="FFFFFF"/>
        <w:spacing w:line="580" w:lineRule="exact"/>
        <w:ind w:firstLine="68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3．组织科学技术工作者开展科技创新，参与科学论证和咨询服务，加快科技成果转化应用，助力创新发展，为增强企业自主创新能力作贡献。</w:t>
      </w:r>
    </w:p>
    <w:p>
      <w:pPr>
        <w:widowControl/>
        <w:shd w:val="clear" w:color="auto" w:fill="FFFFFF"/>
        <w:spacing w:line="580" w:lineRule="exact"/>
        <w:ind w:firstLine="68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4．弘扬科学精神，普及科学知识，推广先进技术，捍卫科学尊严，提高全民科学素质。</w:t>
      </w:r>
    </w:p>
    <w:p>
      <w:pPr>
        <w:widowControl/>
        <w:shd w:val="clear" w:color="auto" w:fill="FFFFFF"/>
        <w:spacing w:line="580" w:lineRule="exact"/>
        <w:ind w:firstLine="68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5．健全科学共同体的自律功能，推动建立和完善科学研究诚信监督机制，促进科学道德建设和学风建设，宣传优秀科学技术工作者，培育科学文化，践行社会主义核心价值观。</w:t>
      </w:r>
    </w:p>
    <w:p>
      <w:pPr>
        <w:widowControl/>
        <w:shd w:val="clear" w:color="auto" w:fill="FFFFFF"/>
        <w:spacing w:line="580" w:lineRule="exact"/>
        <w:ind w:firstLine="68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6．组织科学技术工作者参与科技战略、规划、布局、政策、法律法规的咨询制定和有关社会事务的政治协商、科学决策、民主监督工作，建设高水平科技创新智库。</w:t>
      </w:r>
    </w:p>
    <w:p>
      <w:pPr>
        <w:widowControl/>
        <w:shd w:val="clear" w:color="auto" w:fill="FFFFFF"/>
        <w:spacing w:line="580" w:lineRule="exact"/>
        <w:ind w:firstLine="68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7．组织所属学会有序承接科技评估、工程技术领域职业资格认定、职称评定、科技标准研制、科技成果评价、科技奖励推荐等政府委托工作或职能转移。</w:t>
      </w:r>
    </w:p>
    <w:p>
      <w:pPr>
        <w:widowControl/>
        <w:shd w:val="clear" w:color="auto" w:fill="FFFFFF"/>
        <w:spacing w:line="580" w:lineRule="exact"/>
        <w:ind w:firstLine="68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8．注重激发青少年科技兴趣，发现培养杰出青年科技工作者和创新团队，推荐表彰奖励优秀科学技术工作者，举荐科学技术人才。</w:t>
      </w:r>
    </w:p>
    <w:p>
      <w:pPr>
        <w:widowControl/>
        <w:shd w:val="clear" w:color="auto" w:fill="FFFFFF"/>
        <w:spacing w:line="580" w:lineRule="exact"/>
        <w:ind w:firstLine="68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9．开展民间国际科学技术交流活动，促进国际科学技术合作，发展同国（境）外的科学技术团体和科学技术工作者的友好交往，为海外科技人才来攀创新创业提供服务。</w:t>
      </w:r>
    </w:p>
    <w:p>
      <w:pPr>
        <w:widowControl/>
        <w:shd w:val="clear" w:color="auto" w:fill="FFFFFF"/>
        <w:spacing w:line="580" w:lineRule="exact"/>
        <w:ind w:firstLine="68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10．兴办符合攀枝花市科学技术协会宗旨的社会公益性事业。</w:t>
      </w:r>
    </w:p>
    <w:p>
      <w:pPr>
        <w:widowControl/>
        <w:shd w:val="clear" w:color="auto" w:fill="FFFFFF"/>
        <w:spacing w:line="580" w:lineRule="exact"/>
        <w:ind w:firstLine="680"/>
        <w:rPr>
          <w:rFonts w:eastAsia="方正楷体_GBK"/>
          <w:kern w:val="0"/>
          <w:sz w:val="32"/>
          <w:szCs w:val="32"/>
          <w:shd w:val="clear" w:color="auto" w:fill="FFFFFF"/>
          <w:lang w:val="zh-CN"/>
        </w:rPr>
      </w:pPr>
      <w:r>
        <w:rPr>
          <w:rFonts w:hAnsi="方正楷体_GBK" w:eastAsia="方正楷体_GBK"/>
          <w:kern w:val="0"/>
          <w:sz w:val="32"/>
          <w:szCs w:val="32"/>
          <w:shd w:val="clear" w:color="auto" w:fill="FFFFFF"/>
          <w:lang w:val="zh-CN"/>
        </w:rPr>
        <w:t>（三）人员概况</w:t>
      </w:r>
    </w:p>
    <w:p>
      <w:pPr>
        <w:widowControl/>
        <w:shd w:val="clear" w:color="auto" w:fill="FFFFFF"/>
        <w:spacing w:line="580" w:lineRule="exact"/>
        <w:ind w:firstLine="680"/>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截至2021年12月31日，市科协机关和直属事业单位编制人数 22人 ，年末实有人数 19人（市科协机关在职人数9人；直属事业单位在职人数10人）</w:t>
      </w:r>
      <w:r>
        <w:rPr>
          <w:rFonts w:hint="eastAsia" w:ascii="方正仿宋_GBK" w:hAnsi="方正仿宋_GBK" w:eastAsia="方正仿宋_GBK"/>
          <w:spacing w:val="-4"/>
          <w:kern w:val="0"/>
          <w:sz w:val="32"/>
          <w:szCs w:val="32"/>
        </w:rPr>
        <w:t>；</w:t>
      </w:r>
      <w:r>
        <w:rPr>
          <w:rFonts w:ascii="方正仿宋_GBK" w:hAnsi="方正仿宋_GBK" w:eastAsia="方正仿宋_GBK"/>
          <w:spacing w:val="-4"/>
          <w:kern w:val="0"/>
          <w:sz w:val="32"/>
          <w:szCs w:val="32"/>
        </w:rPr>
        <w:t>离</w:t>
      </w:r>
      <w:r>
        <w:rPr>
          <w:rFonts w:hint="eastAsia" w:ascii="方正仿宋_GBK" w:hAnsi="方正仿宋_GBK" w:eastAsia="方正仿宋_GBK"/>
          <w:spacing w:val="-4"/>
          <w:kern w:val="0"/>
          <w:sz w:val="32"/>
          <w:szCs w:val="32"/>
        </w:rPr>
        <w:t>休人员1人；年末</w:t>
      </w:r>
      <w:r>
        <w:rPr>
          <w:rFonts w:ascii="方正仿宋_GBK" w:hAnsi="方正仿宋_GBK" w:eastAsia="方正仿宋_GBK"/>
          <w:spacing w:val="-4"/>
          <w:kern w:val="0"/>
          <w:sz w:val="32"/>
          <w:szCs w:val="32"/>
        </w:rPr>
        <w:t>退休人员2</w:t>
      </w:r>
      <w:r>
        <w:rPr>
          <w:rFonts w:hint="eastAsia" w:ascii="方正仿宋_GBK" w:hAnsi="方正仿宋_GBK" w:eastAsia="方正仿宋_GBK"/>
          <w:spacing w:val="-4"/>
          <w:kern w:val="0"/>
          <w:sz w:val="32"/>
          <w:szCs w:val="32"/>
        </w:rPr>
        <w:t>3</w:t>
      </w:r>
      <w:r>
        <w:rPr>
          <w:rFonts w:ascii="方正仿宋_GBK" w:hAnsi="方正仿宋_GBK" w:eastAsia="方正仿宋_GBK"/>
          <w:spacing w:val="-4"/>
          <w:kern w:val="0"/>
          <w:sz w:val="32"/>
          <w:szCs w:val="32"/>
        </w:rPr>
        <w:t>人</w:t>
      </w:r>
      <w:r>
        <w:rPr>
          <w:rFonts w:hint="eastAsia" w:ascii="方正仿宋_GBK" w:hAnsi="方正仿宋_GBK" w:eastAsia="方正仿宋_GBK"/>
          <w:spacing w:val="-4"/>
          <w:kern w:val="0"/>
          <w:sz w:val="32"/>
          <w:szCs w:val="32"/>
        </w:rPr>
        <w:t>已纳入机关事业养老保险统筹管理</w:t>
      </w:r>
      <w:r>
        <w:rPr>
          <w:rFonts w:ascii="方正仿宋_GBK" w:hAnsi="方正仿宋_GBK" w:eastAsia="方正仿宋_GBK"/>
          <w:spacing w:val="-4"/>
          <w:kern w:val="0"/>
          <w:sz w:val="32"/>
          <w:szCs w:val="32"/>
        </w:rPr>
        <w:t>。</w:t>
      </w:r>
    </w:p>
    <w:p>
      <w:pPr>
        <w:widowControl/>
        <w:adjustRightInd w:val="0"/>
        <w:snapToGrid w:val="0"/>
        <w:spacing w:line="580"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二、部门财政资金收支情况</w:t>
      </w:r>
    </w:p>
    <w:p>
      <w:pPr>
        <w:pStyle w:val="7"/>
        <w:spacing w:line="580" w:lineRule="exact"/>
        <w:ind w:firstLine="640" w:firstLineChars="200"/>
        <w:jc w:val="left"/>
        <w:rPr>
          <w:rFonts w:ascii="Times New Roman" w:hAnsi="Times New Roman" w:eastAsia="方正楷体_GBK"/>
          <w:kern w:val="0"/>
          <w:sz w:val="32"/>
          <w:szCs w:val="32"/>
          <w:shd w:val="clear" w:color="auto" w:fill="FFFFFF"/>
          <w:lang w:val="zh-CN"/>
        </w:rPr>
      </w:pPr>
      <w:r>
        <w:rPr>
          <w:rFonts w:ascii="Times New Roman" w:hAnsi="方正楷体_GBK" w:eastAsia="方正楷体_GBK"/>
          <w:kern w:val="0"/>
          <w:sz w:val="32"/>
          <w:szCs w:val="32"/>
          <w:shd w:val="clear" w:color="auto" w:fill="FFFFFF"/>
          <w:lang w:val="zh-CN"/>
        </w:rPr>
        <w:t>（一）部门财政资金收入情况</w:t>
      </w:r>
    </w:p>
    <w:p>
      <w:pPr>
        <w:pStyle w:val="7"/>
        <w:spacing w:line="580" w:lineRule="exact"/>
        <w:ind w:firstLine="640" w:firstLineChars="200"/>
        <w:jc w:val="left"/>
        <w:rPr>
          <w:rFonts w:ascii="方正仿宋_GBK" w:hAnsi="方正仿宋_GBK" w:eastAsia="方正仿宋_GBK"/>
          <w:sz w:val="32"/>
          <w:szCs w:val="32"/>
        </w:rPr>
      </w:pPr>
      <w:r>
        <w:rPr>
          <w:rFonts w:ascii="方正仿宋_GBK" w:hAnsi="方正仿宋_GBK" w:eastAsia="方正仿宋_GBK"/>
          <w:sz w:val="32"/>
          <w:szCs w:val="32"/>
        </w:rPr>
        <w:t>年初财政拨款结转结余6.13万元，本年财政拨款收入617.86万元，含：一般公共预算财政拨款616.78万元、政府性基金预算财政拨款1.08万元。</w:t>
      </w:r>
    </w:p>
    <w:p>
      <w:pPr>
        <w:widowControl/>
        <w:adjustRightInd w:val="0"/>
        <w:snapToGrid w:val="0"/>
        <w:spacing w:line="580" w:lineRule="exact"/>
        <w:ind w:firstLine="640" w:firstLineChars="200"/>
        <w:contextualSpacing/>
        <w:jc w:val="left"/>
        <w:rPr>
          <w:rFonts w:eastAsia="仿宋_GB2312"/>
          <w:kern w:val="0"/>
          <w:sz w:val="32"/>
          <w:szCs w:val="32"/>
          <w:shd w:val="clear" w:color="auto" w:fill="FFFFFF"/>
          <w:lang w:val="zh-CN"/>
        </w:rPr>
      </w:pPr>
      <w:r>
        <w:rPr>
          <w:rFonts w:eastAsia="仿宋_GB2312"/>
          <w:kern w:val="0"/>
          <w:sz w:val="32"/>
          <w:szCs w:val="32"/>
          <w:shd w:val="clear" w:color="auto" w:fill="FFFFFF"/>
          <w:lang w:val="zh-CN"/>
        </w:rPr>
        <w:t>（</w:t>
      </w:r>
      <w:r>
        <w:rPr>
          <w:rFonts w:hAnsi="方正楷体_GBK" w:eastAsia="方正楷体_GBK"/>
          <w:kern w:val="0"/>
          <w:sz w:val="32"/>
          <w:szCs w:val="32"/>
          <w:shd w:val="clear" w:color="auto" w:fill="FFFFFF"/>
          <w:lang w:val="zh-CN"/>
        </w:rPr>
        <w:t>二）部门财政资金支出情况</w:t>
      </w:r>
    </w:p>
    <w:p>
      <w:pPr>
        <w:pStyle w:val="7"/>
        <w:spacing w:line="580" w:lineRule="exact"/>
        <w:ind w:firstLine="640" w:firstLineChars="200"/>
        <w:jc w:val="left"/>
        <w:rPr>
          <w:rFonts w:ascii="方正仿宋_GBK" w:hAnsi="方正仿宋_GBK" w:eastAsia="方正仿宋_GBK"/>
          <w:sz w:val="32"/>
          <w:szCs w:val="32"/>
        </w:rPr>
      </w:pPr>
      <w:r>
        <w:rPr>
          <w:rFonts w:ascii="方正仿宋_GBK" w:hAnsi="方正仿宋_GBK" w:eastAsia="方正仿宋_GBK"/>
          <w:sz w:val="32"/>
          <w:szCs w:val="32"/>
        </w:rPr>
        <w:t>全年财政拨款支出624万元，含：基本支出537.95万元、项目支出86.05万元；含：科学技术支出471.29万元、社会保障和就业支出118.57万元、城乡社区支出1.08万元、住房保障支出33.06万元。</w:t>
      </w:r>
    </w:p>
    <w:p>
      <w:pPr>
        <w:pStyle w:val="7"/>
        <w:spacing w:line="580" w:lineRule="exact"/>
        <w:ind w:firstLine="640" w:firstLineChars="200"/>
        <w:jc w:val="left"/>
        <w:rPr>
          <w:rFonts w:ascii="方正仿宋_GBK" w:hAnsi="方正仿宋_GBK" w:eastAsia="方正仿宋_GBK"/>
          <w:sz w:val="32"/>
          <w:szCs w:val="32"/>
        </w:rPr>
      </w:pPr>
      <w:r>
        <w:rPr>
          <w:rFonts w:ascii="方正仿宋_GBK" w:hAnsi="方正仿宋_GBK" w:eastAsia="方正仿宋_GBK"/>
          <w:sz w:val="32"/>
          <w:szCs w:val="32"/>
        </w:rPr>
        <w:t>年末财政拨款结转结余0万元。</w:t>
      </w:r>
    </w:p>
    <w:p>
      <w:pPr>
        <w:widowControl/>
        <w:adjustRightInd w:val="0"/>
        <w:snapToGrid w:val="0"/>
        <w:spacing w:line="580"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eastAsia="方正楷体_GBK"/>
          <w:kern w:val="0"/>
          <w:sz w:val="32"/>
          <w:szCs w:val="32"/>
          <w:shd w:val="clear" w:color="auto" w:fill="FFFFFF"/>
          <w:lang w:val="zh-CN"/>
        </w:rPr>
      </w:pPr>
      <w:r>
        <w:rPr>
          <w:rFonts w:hAnsi="方正楷体_GBK" w:eastAsia="方正楷体_GBK"/>
          <w:kern w:val="0"/>
          <w:sz w:val="32"/>
          <w:szCs w:val="32"/>
          <w:shd w:val="clear" w:color="auto" w:fill="FFFFFF"/>
          <w:lang w:val="zh-CN"/>
        </w:rPr>
        <w:t>（一）部门预算项目绩效管理</w:t>
      </w:r>
    </w:p>
    <w:p>
      <w:pPr>
        <w:widowControl/>
        <w:adjustRightInd w:val="0"/>
        <w:snapToGrid w:val="0"/>
        <w:spacing w:line="580" w:lineRule="exact"/>
        <w:ind w:firstLine="640" w:firstLineChars="200"/>
        <w:contextualSpacing/>
        <w:jc w:val="left"/>
        <w:rPr>
          <w:rFonts w:eastAsia="方正仿宋_GBK"/>
          <w:sz w:val="32"/>
          <w:szCs w:val="32"/>
        </w:rPr>
      </w:pPr>
      <w:r>
        <w:rPr>
          <w:rFonts w:eastAsia="方正仿宋_GBK"/>
          <w:bCs/>
          <w:sz w:val="32"/>
          <w:szCs w:val="32"/>
        </w:rPr>
        <w:t>一是</w:t>
      </w:r>
      <w:r>
        <w:rPr>
          <w:rFonts w:eastAsia="方正仿宋_GBK"/>
          <w:sz w:val="32"/>
          <w:szCs w:val="32"/>
        </w:rPr>
        <w:t>严格按照财政部门预算编制要求准确编制部门预算和绩效目标；人员和公用支出预算按定员定额标准编制，项目支出预算真实并按规定开展项目评审；单位自有资金收入全部纳入部门综合预算管理；上报预算及预算调整由市科协党组会集体研究确定。</w:t>
      </w:r>
      <w:r>
        <w:rPr>
          <w:rFonts w:eastAsia="方正仿宋_GBK"/>
          <w:bCs/>
          <w:sz w:val="32"/>
          <w:szCs w:val="32"/>
        </w:rPr>
        <w:t>二是</w:t>
      </w:r>
      <w:r>
        <w:rPr>
          <w:rFonts w:eastAsia="方正仿宋_GBK"/>
          <w:sz w:val="32"/>
          <w:szCs w:val="32"/>
        </w:rPr>
        <w:t>坚决贯彻落实预算执行管理相关规定，预算决算按时如实公开，专项资金预算按照《项目绩效目标申报表》细分执行；省级专项资金分配划拨按照财政部门监管要求规范执行，在履行党组集体决策程序的基础上，和财政部门共同行文申报和下达；每年根据财政实际下达额度及时研究和调整预算和绩效目标，不足部分积极争取上级资金弥补。</w:t>
      </w:r>
      <w:r>
        <w:rPr>
          <w:rFonts w:eastAsia="方正仿宋_GBK"/>
          <w:bCs/>
          <w:sz w:val="32"/>
          <w:szCs w:val="32"/>
        </w:rPr>
        <w:t>三是</w:t>
      </w:r>
      <w:r>
        <w:rPr>
          <w:rFonts w:eastAsia="方正仿宋_GBK"/>
          <w:sz w:val="32"/>
          <w:szCs w:val="32"/>
        </w:rPr>
        <w:t>进一步强化了预决算进度监控和精细化目标绩效管理，对项目绩效实行全过程跟踪，及时督促项目实施，确保绩效管理工作落实落细。</w:t>
      </w:r>
    </w:p>
    <w:p>
      <w:pPr>
        <w:pStyle w:val="7"/>
        <w:spacing w:line="580" w:lineRule="exact"/>
        <w:ind w:firstLine="640" w:firstLineChars="200"/>
        <w:jc w:val="left"/>
        <w:rPr>
          <w:rFonts w:ascii="方正仿宋_GBK" w:hAnsi="方正仿宋_GBK" w:eastAsia="方正仿宋_GBK"/>
          <w:sz w:val="32"/>
          <w:szCs w:val="32"/>
        </w:rPr>
      </w:pPr>
      <w:r>
        <w:rPr>
          <w:rFonts w:ascii="方正仿宋_GBK" w:hAnsi="方正仿宋_GBK" w:eastAsia="方正仿宋_GBK"/>
          <w:sz w:val="32"/>
          <w:szCs w:val="32"/>
        </w:rPr>
        <w:t>2021年度年初部门预算绩效目标完成情况良好，专项资金绩效目标完成情况良好，重点工作取得优异成绩，全年预算执行达到既定目标，无违规记录。</w:t>
      </w:r>
    </w:p>
    <w:p>
      <w:pPr>
        <w:widowControl/>
        <w:adjustRightInd w:val="0"/>
        <w:snapToGrid w:val="0"/>
        <w:spacing w:line="580" w:lineRule="exact"/>
        <w:ind w:firstLine="640" w:firstLineChars="200"/>
        <w:contextualSpacing/>
        <w:jc w:val="left"/>
        <w:rPr>
          <w:rFonts w:eastAsia="方正楷体_GBK"/>
          <w:kern w:val="0"/>
          <w:sz w:val="32"/>
          <w:szCs w:val="32"/>
          <w:shd w:val="clear" w:color="auto" w:fill="FFFFFF"/>
          <w:lang w:val="zh-CN"/>
        </w:rPr>
      </w:pPr>
      <w:r>
        <w:rPr>
          <w:rFonts w:hAnsi="方正楷体_GBK" w:eastAsia="方正楷体_GBK"/>
          <w:kern w:val="0"/>
          <w:sz w:val="32"/>
          <w:szCs w:val="32"/>
          <w:shd w:val="clear" w:color="auto" w:fill="FFFFFF"/>
          <w:lang w:val="zh-CN"/>
        </w:rPr>
        <w:t>（二）结果应用情况</w:t>
      </w:r>
    </w:p>
    <w:p>
      <w:pPr>
        <w:pStyle w:val="7"/>
        <w:spacing w:before="93" w:line="580" w:lineRule="exact"/>
        <w:ind w:firstLine="640" w:firstLineChars="200"/>
        <w:jc w:val="left"/>
        <w:rPr>
          <w:rFonts w:ascii="方正仿宋_GBK" w:hAnsi="方正仿宋_GBK" w:eastAsia="方正仿宋_GBK"/>
          <w:sz w:val="32"/>
          <w:szCs w:val="32"/>
        </w:rPr>
      </w:pPr>
      <w:r>
        <w:rPr>
          <w:rFonts w:ascii="方正仿宋_GBK" w:hAnsi="方正仿宋_GBK" w:eastAsia="方正仿宋_GBK"/>
          <w:sz w:val="32"/>
          <w:szCs w:val="32"/>
        </w:rPr>
        <w:t>按时开展绩效自评，自评结果按照职责分工纳入对部门和责任人的年度目标绩效考核体系，考核结果与晋级晋职、岗位调整、评优评先挂钩；干部履职不力将按照《攀枝花市科学技术协会机关各部门、各直属事业单位和干部日常监管“红黄牌”预警处置办法（试行）》追究问责。绩效自评报告和自评表在市科协网站公开，积极征求科协系统和服务领域各方意见，接受相关部门、社会各界和群众监督，及时改进绩效管理工作。</w:t>
      </w:r>
    </w:p>
    <w:p>
      <w:pPr>
        <w:widowControl/>
        <w:numPr>
          <w:ilvl w:val="0"/>
          <w:numId w:val="4"/>
        </w:numPr>
        <w:adjustRightInd w:val="0"/>
        <w:snapToGrid w:val="0"/>
        <w:spacing w:line="580" w:lineRule="exact"/>
        <w:ind w:firstLine="640" w:firstLineChars="200"/>
        <w:contextualSpacing/>
        <w:jc w:val="left"/>
        <w:rPr>
          <w:rFonts w:eastAsia="方正楷体_GBK"/>
          <w:kern w:val="0"/>
          <w:sz w:val="32"/>
          <w:szCs w:val="32"/>
          <w:shd w:val="clear" w:color="auto" w:fill="FFFFFF"/>
          <w:lang w:val="zh-CN"/>
        </w:rPr>
      </w:pPr>
      <w:r>
        <w:rPr>
          <w:rFonts w:hAnsi="方正楷体_GBK" w:eastAsia="方正楷体_GBK"/>
          <w:kern w:val="0"/>
          <w:sz w:val="32"/>
          <w:szCs w:val="32"/>
          <w:shd w:val="clear" w:color="auto" w:fill="FFFFFF"/>
          <w:lang w:val="zh-CN"/>
        </w:rPr>
        <w:t>自评质量</w:t>
      </w:r>
    </w:p>
    <w:p>
      <w:pPr>
        <w:adjustRightInd w:val="0"/>
        <w:snapToGrid w:val="0"/>
        <w:spacing w:line="580" w:lineRule="exact"/>
        <w:ind w:firstLine="640" w:firstLineChars="200"/>
        <w:rPr>
          <w:rFonts w:ascii="方正仿宋_GBK" w:hAnsi="方正仿宋_GBK" w:eastAsia="方正仿宋_GBK"/>
          <w:kern w:val="0"/>
          <w:sz w:val="32"/>
          <w:szCs w:val="32"/>
          <w:shd w:val="clear" w:color="auto" w:fill="FFFFFF"/>
        </w:rPr>
      </w:pPr>
      <w:r>
        <w:rPr>
          <w:rFonts w:ascii="方正仿宋_GBK" w:hAnsi="方正仿宋_GBK" w:eastAsia="方正仿宋_GBK"/>
          <w:sz w:val="32"/>
          <w:szCs w:val="32"/>
          <w:lang w:val="zh-CN"/>
        </w:rPr>
        <w:t>自评根据绩效评价的基本原理、原则，结合绩效目标，由绩效评价小组按确定的评价指标系统、评分标准、评价方法和相关的工作程序和步骤，在规定的时间节点内开展绩效评价工作，</w:t>
      </w:r>
      <w:r>
        <w:rPr>
          <w:rFonts w:ascii="方正仿宋_GBK" w:hAnsi="方正仿宋_GBK" w:eastAsia="方正仿宋_GBK"/>
          <w:kern w:val="0"/>
          <w:sz w:val="32"/>
          <w:szCs w:val="32"/>
          <w:shd w:val="clear" w:color="auto" w:fill="FFFFFF"/>
        </w:rPr>
        <w:t>部门整体支出自评准确完整、真实有效。</w:t>
      </w:r>
    </w:p>
    <w:p>
      <w:pPr>
        <w:widowControl/>
        <w:adjustRightInd w:val="0"/>
        <w:snapToGrid w:val="0"/>
        <w:spacing w:line="580" w:lineRule="exact"/>
        <w:ind w:firstLine="640" w:firstLineChars="200"/>
        <w:contextualSpacing/>
        <w:jc w:val="left"/>
        <w:rPr>
          <w:rFonts w:eastAsia="黑体"/>
          <w:kern w:val="0"/>
          <w:sz w:val="32"/>
          <w:szCs w:val="32"/>
          <w:shd w:val="clear" w:color="auto" w:fill="FFFFFF"/>
        </w:rPr>
      </w:pPr>
      <w:r>
        <w:rPr>
          <w:rFonts w:eastAsia="黑体"/>
          <w:kern w:val="0"/>
          <w:sz w:val="32"/>
          <w:szCs w:val="32"/>
          <w:shd w:val="clear" w:color="auto" w:fill="FFFFFF"/>
        </w:rPr>
        <w:t>四、评价结论及建议</w:t>
      </w:r>
    </w:p>
    <w:p>
      <w:pPr>
        <w:pStyle w:val="7"/>
        <w:spacing w:line="580" w:lineRule="exact"/>
        <w:ind w:firstLine="640" w:firstLineChars="200"/>
        <w:jc w:val="left"/>
        <w:rPr>
          <w:rFonts w:ascii="方正仿宋_GBK" w:hAnsi="方正仿宋_GBK" w:eastAsia="方正仿宋_GBK"/>
          <w:spacing w:val="-4"/>
          <w:sz w:val="32"/>
          <w:szCs w:val="32"/>
        </w:rPr>
      </w:pPr>
      <w:r>
        <w:rPr>
          <w:rFonts w:ascii="Times New Roman" w:hAnsi="方正楷体_GBK" w:eastAsia="方正楷体_GBK"/>
          <w:kern w:val="0"/>
          <w:sz w:val="32"/>
          <w:szCs w:val="32"/>
          <w:shd w:val="clear" w:color="auto" w:fill="FFFFFF"/>
          <w:lang w:val="zh-CN"/>
        </w:rPr>
        <w:t>（一）评价结论。</w:t>
      </w:r>
      <w:r>
        <w:rPr>
          <w:rFonts w:ascii="方正仿宋_GBK" w:hAnsi="方正仿宋_GBK" w:eastAsia="方正仿宋_GBK"/>
          <w:sz w:val="32"/>
          <w:szCs w:val="32"/>
        </w:rPr>
        <w:t>总的来说，市科协2021年度财政资金绩效评价良好，通过精细化全过程的绩效管理，各项经费的使用基本实现了既定的整体绩效目标，充分发挥了财政资金的效用，各项目标工作任务有序推进且完成较好，重点工作在全省名列前茅。</w:t>
      </w:r>
    </w:p>
    <w:p>
      <w:pPr>
        <w:pStyle w:val="7"/>
        <w:spacing w:line="580" w:lineRule="exact"/>
        <w:ind w:firstLine="640" w:firstLineChars="200"/>
        <w:jc w:val="left"/>
        <w:rPr>
          <w:rFonts w:ascii="方正仿宋_GBK" w:hAnsi="方正仿宋_GBK" w:eastAsia="方正仿宋_GBK"/>
          <w:spacing w:val="-4"/>
          <w:sz w:val="32"/>
          <w:szCs w:val="32"/>
        </w:rPr>
      </w:pPr>
      <w:r>
        <w:rPr>
          <w:rFonts w:ascii="Times New Roman" w:hAnsi="方正楷体_GBK" w:eastAsia="方正楷体_GBK"/>
          <w:kern w:val="0"/>
          <w:sz w:val="32"/>
          <w:szCs w:val="32"/>
          <w:shd w:val="clear" w:color="auto" w:fill="FFFFFF"/>
          <w:lang w:val="zh-CN"/>
        </w:rPr>
        <w:t>（二）存在问题。</w:t>
      </w:r>
      <w:r>
        <w:rPr>
          <w:rFonts w:ascii="方正仿宋_GBK" w:hAnsi="方正仿宋_GBK" w:eastAsia="方正仿宋_GBK"/>
          <w:spacing w:val="-4"/>
          <w:sz w:val="32"/>
          <w:szCs w:val="32"/>
        </w:rPr>
        <w:t>回顾一年的工作，在业务工作上虽然取得了一些成绩，但与组织要求和群众期盼相比，还有一定的差距和不足：如抓业务工作创新思路少，抓党风廉政建设压力传导机制不够健全。在资金使用上还存在全年支出进度不均衡、预算目标制定还不够精准的问题。</w:t>
      </w:r>
    </w:p>
    <w:p>
      <w:pPr>
        <w:pStyle w:val="7"/>
        <w:spacing w:line="580" w:lineRule="exact"/>
        <w:ind w:firstLine="640" w:firstLineChars="200"/>
        <w:jc w:val="left"/>
        <w:rPr>
          <w:rFonts w:ascii="Times New Roman" w:hAnsi="Times New Roman" w:eastAsia="方正仿宋_GBK"/>
          <w:spacing w:val="-4"/>
          <w:sz w:val="33"/>
          <w:szCs w:val="33"/>
        </w:rPr>
      </w:pPr>
      <w:r>
        <w:rPr>
          <w:rFonts w:ascii="Times New Roman" w:hAnsi="方正楷体_GBK" w:eastAsia="方正楷体_GBK"/>
          <w:kern w:val="0"/>
          <w:sz w:val="32"/>
          <w:szCs w:val="32"/>
          <w:shd w:val="clear" w:color="auto" w:fill="FFFFFF"/>
          <w:lang w:val="zh-CN"/>
        </w:rPr>
        <w:t>（三）改进建议。</w:t>
      </w:r>
      <w:r>
        <w:rPr>
          <w:rFonts w:ascii="Times New Roman" w:hAnsi="Times New Roman" w:eastAsia="方正仿宋_GBK"/>
          <w:spacing w:val="-4"/>
          <w:sz w:val="32"/>
          <w:szCs w:val="32"/>
        </w:rPr>
        <w:t>今后工作中，市科协将继续认真贯彻落实《政府会计制度》，紧紧围绕我市工作重点，按照科协既定工作思路和预算项目绩效目标抓好进度监控和预算执行，进一步做实做细预决算工作和内控管理，强化目标绩效内部考核，完善绩效评价和监督机制，不断提高财务管理能力和水平。</w:t>
      </w:r>
    </w:p>
    <w:p>
      <w:pPr>
        <w:pStyle w:val="7"/>
        <w:spacing w:before="93" w:line="580" w:lineRule="exact"/>
        <w:ind w:firstLine="644" w:firstLineChars="200"/>
        <w:jc w:val="left"/>
        <w:rPr>
          <w:rFonts w:ascii="Times New Roman" w:hAnsi="Times New Roman" w:eastAsia="方正仿宋_GBK"/>
          <w:spacing w:val="-4"/>
          <w:sz w:val="33"/>
          <w:szCs w:val="33"/>
        </w:rPr>
      </w:pPr>
    </w:p>
    <w:p>
      <w:pPr>
        <w:widowControl/>
        <w:adjustRightInd w:val="0"/>
        <w:snapToGrid w:val="0"/>
        <w:spacing w:line="580" w:lineRule="exact"/>
        <w:ind w:firstLine="640" w:firstLineChars="200"/>
        <w:contextualSpacing/>
        <w:jc w:val="left"/>
        <w:rPr>
          <w:rFonts w:eastAsia="仿宋_GB2312"/>
          <w:kern w:val="0"/>
          <w:sz w:val="32"/>
          <w:szCs w:val="32"/>
          <w:shd w:val="clear" w:color="auto" w:fill="FFFFFF"/>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line="580" w:lineRule="exact"/>
        <w:rPr>
          <w:rFonts w:ascii="Times New Roman"/>
          <w:sz w:val="32"/>
          <w:szCs w:val="32"/>
          <w:shd w:val="clear" w:color="auto" w:fill="FFFFFF"/>
          <w:lang w:val="zh-CN"/>
        </w:rPr>
      </w:pPr>
    </w:p>
    <w:p>
      <w:pPr>
        <w:pStyle w:val="2"/>
        <w:spacing w:before="93" w:line="580" w:lineRule="exact"/>
        <w:rPr>
          <w:rFonts w:ascii="Times New Roman"/>
          <w:sz w:val="32"/>
          <w:szCs w:val="32"/>
          <w:shd w:val="clear" w:color="auto" w:fill="FFFFFF"/>
          <w:lang w:val="zh-CN"/>
        </w:rPr>
      </w:pPr>
    </w:p>
    <w:p>
      <w:pPr>
        <w:pStyle w:val="2"/>
        <w:spacing w:before="93" w:line="580" w:lineRule="exact"/>
        <w:rPr>
          <w:rFonts w:ascii="Times New Roman"/>
          <w:sz w:val="32"/>
          <w:szCs w:val="32"/>
          <w:shd w:val="clear" w:color="auto" w:fill="FFFFFF"/>
          <w:lang w:val="zh-CN"/>
        </w:rPr>
      </w:pPr>
    </w:p>
    <w:p>
      <w:pPr>
        <w:pStyle w:val="2"/>
        <w:spacing w:before="93" w:line="580" w:lineRule="exact"/>
        <w:rPr>
          <w:rFonts w:ascii="Times New Roman"/>
          <w:sz w:val="32"/>
          <w:szCs w:val="32"/>
          <w:shd w:val="clear" w:color="auto" w:fill="FFFFFF"/>
          <w:lang w:val="zh-CN"/>
        </w:rPr>
      </w:pPr>
    </w:p>
    <w:p>
      <w:pPr>
        <w:pStyle w:val="2"/>
        <w:spacing w:beforeLines="0" w:line="580" w:lineRule="exact"/>
        <w:rPr>
          <w:rFonts w:ascii="Times New Roman"/>
          <w:lang w:val="zh-CN"/>
        </w:rPr>
      </w:pPr>
      <w:r>
        <w:rPr>
          <w:rFonts w:ascii="Times New Roman"/>
          <w:sz w:val="32"/>
          <w:szCs w:val="32"/>
          <w:shd w:val="clear" w:color="auto" w:fill="FFFFFF"/>
          <w:lang w:val="zh-CN"/>
        </w:rPr>
        <w:t>附件</w:t>
      </w:r>
      <w:r>
        <w:rPr>
          <w:rFonts w:hint="eastAsia" w:ascii="Times New Roman"/>
          <w:sz w:val="32"/>
          <w:szCs w:val="32"/>
          <w:shd w:val="clear" w:color="auto" w:fill="FFFFFF"/>
          <w:lang w:val="zh-CN"/>
        </w:rPr>
        <w:t>2</w:t>
      </w:r>
    </w:p>
    <w:p>
      <w:pPr>
        <w:spacing w:line="580" w:lineRule="exact"/>
        <w:jc w:val="center"/>
        <w:rPr>
          <w:rFonts w:eastAsia="方正小标宋简体"/>
          <w:sz w:val="40"/>
          <w:szCs w:val="40"/>
        </w:rPr>
      </w:pPr>
      <w:r>
        <w:rPr>
          <w:rFonts w:hAnsi="方正小标宋简体" w:eastAsia="方正小标宋简体"/>
          <w:sz w:val="40"/>
          <w:szCs w:val="40"/>
        </w:rPr>
        <w:t>攀枝花市科学技术协会</w:t>
      </w:r>
    </w:p>
    <w:p>
      <w:pPr>
        <w:spacing w:line="580" w:lineRule="exact"/>
        <w:jc w:val="center"/>
        <w:rPr>
          <w:rFonts w:eastAsia="方正小标宋简体"/>
          <w:sz w:val="40"/>
          <w:szCs w:val="40"/>
          <w:lang w:val="zh-CN"/>
        </w:rPr>
      </w:pPr>
      <w:r>
        <w:rPr>
          <w:rFonts w:eastAsia="方正小标宋简体"/>
          <w:sz w:val="40"/>
          <w:szCs w:val="40"/>
        </w:rPr>
        <w:t>2021</w:t>
      </w:r>
      <w:r>
        <w:rPr>
          <w:rFonts w:hAnsi="方正小标宋简体" w:eastAsia="方正小标宋简体"/>
          <w:sz w:val="40"/>
          <w:szCs w:val="40"/>
        </w:rPr>
        <w:t>年科普活动</w:t>
      </w:r>
      <w:r>
        <w:rPr>
          <w:rFonts w:hAnsi="方正小标宋简体" w:eastAsia="方正小标宋简体"/>
          <w:sz w:val="40"/>
          <w:szCs w:val="40"/>
          <w:lang w:val="zh-CN"/>
        </w:rPr>
        <w:t>项目支出绩效自评报告</w:t>
      </w:r>
    </w:p>
    <w:p>
      <w:pPr>
        <w:spacing w:line="580" w:lineRule="exact"/>
        <w:ind w:firstLine="640"/>
        <w:jc w:val="center"/>
        <w:rPr>
          <w:sz w:val="32"/>
          <w:szCs w:val="32"/>
          <w:lang w:val="zh-CN"/>
        </w:rPr>
      </w:pPr>
    </w:p>
    <w:p>
      <w:pPr>
        <w:autoSpaceDE w:val="0"/>
        <w:autoSpaceDN w:val="0"/>
        <w:adjustRightInd w:val="0"/>
        <w:spacing w:line="580" w:lineRule="exact"/>
        <w:ind w:firstLine="644" w:firstLineChars="200"/>
        <w:jc w:val="left"/>
        <w:rPr>
          <w:rFonts w:eastAsia="方正黑体_GBK"/>
          <w:spacing w:val="-4"/>
          <w:kern w:val="0"/>
          <w:sz w:val="33"/>
          <w:szCs w:val="33"/>
        </w:rPr>
      </w:pPr>
      <w:r>
        <w:rPr>
          <w:rFonts w:eastAsia="方正黑体_GBK"/>
          <w:spacing w:val="-4"/>
          <w:kern w:val="0"/>
          <w:sz w:val="33"/>
          <w:szCs w:val="33"/>
        </w:rPr>
        <w:t>一、项目概况</w:t>
      </w:r>
    </w:p>
    <w:p>
      <w:pPr>
        <w:autoSpaceDE w:val="0"/>
        <w:autoSpaceDN w:val="0"/>
        <w:adjustRightInd w:val="0"/>
        <w:spacing w:line="580" w:lineRule="exact"/>
        <w:ind w:firstLine="647" w:firstLineChars="200"/>
        <w:jc w:val="left"/>
        <w:rPr>
          <w:rFonts w:eastAsia="方正楷体_GBK"/>
          <w:b/>
          <w:spacing w:val="-4"/>
          <w:kern w:val="0"/>
          <w:sz w:val="33"/>
          <w:szCs w:val="33"/>
        </w:rPr>
      </w:pPr>
      <w:r>
        <w:rPr>
          <w:rFonts w:eastAsia="方正楷体_GBK"/>
          <w:b/>
          <w:spacing w:val="-4"/>
          <w:kern w:val="0"/>
          <w:sz w:val="33"/>
          <w:szCs w:val="33"/>
        </w:rPr>
        <w:t>（一）项目基本情况。</w:t>
      </w:r>
    </w:p>
    <w:p>
      <w:pPr>
        <w:autoSpaceDE w:val="0"/>
        <w:autoSpaceDN w:val="0"/>
        <w:adjustRightInd w:val="0"/>
        <w:spacing w:line="580" w:lineRule="exact"/>
        <w:ind w:firstLine="647" w:firstLineChars="200"/>
        <w:jc w:val="left"/>
        <w:rPr>
          <w:rFonts w:eastAsia="方正仿宋_GBK"/>
          <w:b/>
          <w:spacing w:val="-4"/>
          <w:kern w:val="0"/>
          <w:sz w:val="33"/>
          <w:szCs w:val="33"/>
        </w:rPr>
      </w:pPr>
      <w:r>
        <w:rPr>
          <w:rFonts w:eastAsia="方正仿宋_GBK"/>
          <w:b/>
          <w:spacing w:val="-4"/>
          <w:kern w:val="0"/>
          <w:sz w:val="33"/>
          <w:szCs w:val="33"/>
        </w:rPr>
        <w:t>1．项目主管部门（单位）在该项目管理中的职能。</w:t>
      </w:r>
    </w:p>
    <w:p>
      <w:pPr>
        <w:autoSpaceDE w:val="0"/>
        <w:autoSpaceDN w:val="0"/>
        <w:adjustRightInd w:val="0"/>
        <w:spacing w:line="580" w:lineRule="exact"/>
        <w:ind w:firstLine="624" w:firstLineChars="200"/>
        <w:jc w:val="left"/>
        <w:rPr>
          <w:rFonts w:eastAsia="方正仿宋_GBK"/>
          <w:spacing w:val="-4"/>
          <w:kern w:val="0"/>
          <w:sz w:val="32"/>
          <w:szCs w:val="32"/>
        </w:rPr>
      </w:pPr>
      <w:r>
        <w:rPr>
          <w:rFonts w:eastAsia="方正仿宋_GBK"/>
          <w:spacing w:val="-4"/>
          <w:sz w:val="32"/>
          <w:szCs w:val="32"/>
          <w:shd w:val="clear" w:color="auto" w:fill="FFFFFF"/>
        </w:rPr>
        <w:t>本项目自评报告总结了我单位的市级科普活动项目，市科协作为主管部门，负责组织实施重点项目和指导监督承办单位按照相关项目管理要求开展具体工作，按时按质完成项目绩效目标。</w:t>
      </w:r>
    </w:p>
    <w:p>
      <w:pPr>
        <w:autoSpaceDE w:val="0"/>
        <w:autoSpaceDN w:val="0"/>
        <w:adjustRightInd w:val="0"/>
        <w:spacing w:line="580" w:lineRule="exact"/>
        <w:ind w:firstLine="647" w:firstLineChars="200"/>
        <w:jc w:val="left"/>
        <w:rPr>
          <w:rFonts w:eastAsia="方正仿宋_GBK"/>
          <w:b/>
          <w:spacing w:val="-4"/>
          <w:kern w:val="0"/>
          <w:sz w:val="33"/>
          <w:szCs w:val="33"/>
        </w:rPr>
      </w:pPr>
      <w:r>
        <w:rPr>
          <w:rFonts w:eastAsia="方正仿宋_GBK"/>
          <w:b/>
          <w:spacing w:val="-4"/>
          <w:kern w:val="0"/>
          <w:sz w:val="33"/>
          <w:szCs w:val="33"/>
        </w:rPr>
        <w:t>2．项目立项、资金申报的依据。</w:t>
      </w:r>
    </w:p>
    <w:p>
      <w:pPr>
        <w:autoSpaceDE w:val="0"/>
        <w:autoSpaceDN w:val="0"/>
        <w:adjustRightInd w:val="0"/>
        <w:spacing w:line="580" w:lineRule="exact"/>
        <w:ind w:firstLine="624" w:firstLineChars="200"/>
        <w:jc w:val="left"/>
        <w:rPr>
          <w:rFonts w:ascii="方正仿宋_GBK" w:hAnsi="方正仿宋_GBK" w:eastAsia="方正仿宋_GBK"/>
          <w:color w:val="FF0000"/>
          <w:spacing w:val="-4"/>
          <w:sz w:val="32"/>
          <w:szCs w:val="32"/>
          <w:shd w:val="clear" w:color="auto" w:fill="FFFFFF"/>
        </w:rPr>
      </w:pPr>
      <w:r>
        <w:rPr>
          <w:rFonts w:ascii="方正仿宋_GBK" w:hAnsi="方正仿宋_GBK" w:eastAsia="方正仿宋_GBK"/>
          <w:spacing w:val="-4"/>
          <w:kern w:val="0"/>
          <w:sz w:val="32"/>
          <w:szCs w:val="32"/>
        </w:rPr>
        <w:t>因市科协专项经费较少，各项业务工作均在“科普活动”打捆经费中列支，在项目执行过程中加强部门协作，按照“部门+项目”的原则进一步细分预算项目，确保绩效目标落实到位。本级财政“科普活动”经费按照我市常住人口数的相应标准预算，</w:t>
      </w:r>
      <w:r>
        <w:rPr>
          <w:rFonts w:hint="eastAsia" w:ascii="方正仿宋_GBK" w:hAnsi="方正仿宋_GBK" w:eastAsia="方正仿宋_GBK"/>
          <w:spacing w:val="-4"/>
          <w:kern w:val="0"/>
          <w:sz w:val="32"/>
          <w:szCs w:val="32"/>
        </w:rPr>
        <w:t>全</w:t>
      </w:r>
      <w:r>
        <w:rPr>
          <w:rFonts w:ascii="方正仿宋_GBK" w:hAnsi="方正仿宋_GBK" w:eastAsia="方正仿宋_GBK"/>
          <w:spacing w:val="-4"/>
          <w:sz w:val="32"/>
          <w:szCs w:val="32"/>
          <w:shd w:val="clear" w:color="auto" w:fill="FFFFFF"/>
        </w:rPr>
        <w:t>年</w:t>
      </w:r>
      <w:r>
        <w:rPr>
          <w:rFonts w:hint="eastAsia" w:ascii="方正仿宋_GBK" w:hAnsi="方正仿宋_GBK" w:eastAsia="方正仿宋_GBK"/>
          <w:spacing w:val="-4"/>
          <w:sz w:val="32"/>
          <w:szCs w:val="32"/>
          <w:shd w:val="clear" w:color="auto" w:fill="FFFFFF"/>
        </w:rPr>
        <w:t>完成财政预算支出</w:t>
      </w:r>
      <w:r>
        <w:rPr>
          <w:rFonts w:ascii="方正仿宋_GBK" w:hAnsi="方正仿宋_GBK" w:eastAsia="方正仿宋_GBK"/>
          <w:spacing w:val="-4"/>
          <w:sz w:val="32"/>
          <w:szCs w:val="32"/>
          <w:shd w:val="clear" w:color="auto" w:fill="FFFFFF"/>
        </w:rPr>
        <w:t>86.05万元。</w:t>
      </w:r>
    </w:p>
    <w:p>
      <w:pPr>
        <w:autoSpaceDE w:val="0"/>
        <w:autoSpaceDN w:val="0"/>
        <w:adjustRightInd w:val="0"/>
        <w:spacing w:line="580" w:lineRule="exact"/>
        <w:ind w:firstLine="647" w:firstLineChars="200"/>
        <w:jc w:val="left"/>
        <w:rPr>
          <w:rFonts w:eastAsia="方正仿宋_GBK"/>
          <w:b/>
          <w:spacing w:val="-4"/>
          <w:kern w:val="0"/>
          <w:sz w:val="33"/>
          <w:szCs w:val="33"/>
        </w:rPr>
      </w:pPr>
      <w:r>
        <w:rPr>
          <w:rFonts w:eastAsia="方正仿宋_GBK"/>
          <w:b/>
          <w:spacing w:val="-4"/>
          <w:kern w:val="0"/>
          <w:sz w:val="33"/>
          <w:szCs w:val="33"/>
        </w:rPr>
        <w:t>3．资金管理办法制定情况，资金支持具体项目的条件、范围与支持方式概况。</w:t>
      </w:r>
    </w:p>
    <w:p>
      <w:pPr>
        <w:autoSpaceDE w:val="0"/>
        <w:autoSpaceDN w:val="0"/>
        <w:adjustRightInd w:val="0"/>
        <w:spacing w:line="580" w:lineRule="exact"/>
        <w:ind w:firstLine="624" w:firstLineChars="20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项目实施按照《攀枝花市科学技术协会科普资金管理办法》《攀枝花市科学技术协会所属团体活动项目管理办法》《攀枝花市院士（专家）工作站专项资金管理办法》等资金管理制度和《中共攀枝花市科学技术协会党组工作和决策议事规则》《攀枝花市科学技术协会办公会议议事规则》《攀枝花市科学技术协会“三重一大”决策制度》等项目决策制度，切实做到项目决策有目标、有任务、有进度，项目实施有方案、有制度、有标准，项目考评有依据、有数据、有监督。</w:t>
      </w:r>
    </w:p>
    <w:p>
      <w:pPr>
        <w:autoSpaceDE w:val="0"/>
        <w:autoSpaceDN w:val="0"/>
        <w:adjustRightInd w:val="0"/>
        <w:spacing w:line="580" w:lineRule="exact"/>
        <w:ind w:firstLine="647" w:firstLineChars="200"/>
        <w:jc w:val="left"/>
        <w:rPr>
          <w:rFonts w:eastAsia="方正仿宋_GBK"/>
          <w:b/>
          <w:spacing w:val="-4"/>
          <w:kern w:val="0"/>
          <w:sz w:val="33"/>
          <w:szCs w:val="33"/>
        </w:rPr>
      </w:pPr>
      <w:r>
        <w:rPr>
          <w:rFonts w:eastAsia="方正仿宋_GBK"/>
          <w:b/>
          <w:spacing w:val="-4"/>
          <w:kern w:val="0"/>
          <w:sz w:val="33"/>
          <w:szCs w:val="33"/>
        </w:rPr>
        <w:t>4．资金分配的原则及考虑因素。</w:t>
      </w:r>
    </w:p>
    <w:p>
      <w:pPr>
        <w:autoSpaceDE w:val="0"/>
        <w:autoSpaceDN w:val="0"/>
        <w:adjustRightInd w:val="0"/>
        <w:spacing w:line="580" w:lineRule="exact"/>
        <w:ind w:firstLine="624" w:firstLineChars="20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坚持实事求是、量力而行的原则，充分考虑项目的可行性、必要性，根据我市科协事业发展的总体目标和年度重点工作任务，结合省市绩效目标考核要求，统筹考虑，科学分配，最大化促进工作绩效的提高。</w:t>
      </w:r>
    </w:p>
    <w:p>
      <w:pPr>
        <w:autoSpaceDE w:val="0"/>
        <w:autoSpaceDN w:val="0"/>
        <w:adjustRightInd w:val="0"/>
        <w:spacing w:line="580" w:lineRule="exact"/>
        <w:ind w:firstLine="647" w:firstLineChars="200"/>
        <w:jc w:val="left"/>
        <w:rPr>
          <w:rFonts w:eastAsia="方正楷体_GBK"/>
          <w:b/>
          <w:spacing w:val="-4"/>
          <w:kern w:val="0"/>
          <w:sz w:val="33"/>
          <w:szCs w:val="33"/>
        </w:rPr>
      </w:pPr>
      <w:r>
        <w:rPr>
          <w:rFonts w:eastAsia="方正楷体_GBK"/>
          <w:b/>
          <w:spacing w:val="-4"/>
          <w:kern w:val="0"/>
          <w:sz w:val="33"/>
          <w:szCs w:val="33"/>
        </w:rPr>
        <w:t>（二）项目绩效目标。</w:t>
      </w:r>
    </w:p>
    <w:p>
      <w:pPr>
        <w:autoSpaceDE w:val="0"/>
        <w:autoSpaceDN w:val="0"/>
        <w:adjustRightInd w:val="0"/>
        <w:spacing w:line="580" w:lineRule="exact"/>
        <w:ind w:firstLine="647" w:firstLineChars="200"/>
        <w:jc w:val="left"/>
        <w:rPr>
          <w:rFonts w:eastAsia="方正仿宋_GBK"/>
          <w:b/>
          <w:spacing w:val="-4"/>
          <w:kern w:val="0"/>
          <w:sz w:val="33"/>
          <w:szCs w:val="33"/>
        </w:rPr>
      </w:pPr>
      <w:r>
        <w:rPr>
          <w:rFonts w:eastAsia="方正仿宋_GBK"/>
          <w:b/>
          <w:spacing w:val="-4"/>
          <w:kern w:val="0"/>
          <w:sz w:val="33"/>
          <w:szCs w:val="33"/>
        </w:rPr>
        <w:t>1．项目主要内容。</w:t>
      </w:r>
    </w:p>
    <w:p>
      <w:pPr>
        <w:autoSpaceDE w:val="0"/>
        <w:autoSpaceDN w:val="0"/>
        <w:adjustRightInd w:val="0"/>
        <w:spacing w:line="580" w:lineRule="exact"/>
        <w:ind w:firstLine="624" w:firstLineChars="20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项目包含：全民科学素质纲要实施及科普传播活动、学会活动及“科技工作者之家”建设、青少年科技教育活动、院士专家服务中心和工作站建设、反邪教工作、科技馆站展教活动、 “天府科技云服务”工作、市老科协工作、关工委工作。</w:t>
      </w:r>
    </w:p>
    <w:p>
      <w:pPr>
        <w:autoSpaceDE w:val="0"/>
        <w:autoSpaceDN w:val="0"/>
        <w:adjustRightInd w:val="0"/>
        <w:spacing w:line="580" w:lineRule="exact"/>
        <w:ind w:firstLine="647" w:firstLineChars="200"/>
        <w:jc w:val="left"/>
        <w:rPr>
          <w:rFonts w:eastAsia="方正仿宋_GBK"/>
          <w:b/>
          <w:spacing w:val="-4"/>
          <w:kern w:val="0"/>
          <w:sz w:val="33"/>
          <w:szCs w:val="33"/>
        </w:rPr>
      </w:pPr>
      <w:r>
        <w:rPr>
          <w:rFonts w:eastAsia="方正仿宋_GBK"/>
          <w:b/>
          <w:spacing w:val="-4"/>
          <w:kern w:val="0"/>
          <w:sz w:val="33"/>
          <w:szCs w:val="33"/>
        </w:rPr>
        <w:t>2．项目应实现的具体绩效目标，包括目标的量化、细化情况以及项目实施进度计划等。</w:t>
      </w:r>
    </w:p>
    <w:p>
      <w:pPr>
        <w:autoSpaceDE w:val="0"/>
        <w:autoSpaceDN w:val="0"/>
        <w:adjustRightInd w:val="0"/>
        <w:spacing w:line="580" w:lineRule="exact"/>
        <w:ind w:firstLine="624" w:firstLineChars="20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详见《攀枝花市科学技术协会2021年度专项（项目）资金绩效自评表》。</w:t>
      </w:r>
    </w:p>
    <w:p>
      <w:pPr>
        <w:autoSpaceDE w:val="0"/>
        <w:autoSpaceDN w:val="0"/>
        <w:adjustRightInd w:val="0"/>
        <w:spacing w:line="580" w:lineRule="exact"/>
        <w:ind w:firstLine="647" w:firstLineChars="200"/>
        <w:jc w:val="left"/>
        <w:rPr>
          <w:rFonts w:eastAsia="方正仿宋_GBK"/>
          <w:b/>
          <w:spacing w:val="-4"/>
          <w:kern w:val="0"/>
          <w:sz w:val="33"/>
          <w:szCs w:val="33"/>
        </w:rPr>
      </w:pPr>
      <w:r>
        <w:rPr>
          <w:rFonts w:eastAsia="方正仿宋_GBK"/>
          <w:b/>
          <w:spacing w:val="-4"/>
          <w:kern w:val="0"/>
          <w:sz w:val="33"/>
          <w:szCs w:val="33"/>
        </w:rPr>
        <w:t>3．项目申报内容与实际相符，申报目标合理可行。</w:t>
      </w:r>
    </w:p>
    <w:p>
      <w:pPr>
        <w:autoSpaceDE w:val="0"/>
        <w:autoSpaceDN w:val="0"/>
        <w:adjustRightInd w:val="0"/>
        <w:spacing w:line="580" w:lineRule="exact"/>
        <w:ind w:firstLine="624" w:firstLineChars="20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市科协坚持预算编制和执行的科学性、稳定性、时效性，按照预算项目绩效目标，细化项目支出用途，明确项目支出范围，对项目实施的数量、质量、时效、成本、效益、可持续影响、服务对象满意度等指标进行了论证和可行性分析，保障了市科协总体目标顺利实现，用有限的财政资金取得了较好的工作绩效。</w:t>
      </w:r>
    </w:p>
    <w:p>
      <w:pPr>
        <w:pStyle w:val="2"/>
        <w:spacing w:beforeLines="0" w:line="580" w:lineRule="exact"/>
        <w:ind w:firstLine="634" w:firstLineChars="196"/>
        <w:rPr>
          <w:rFonts w:ascii="Times New Roman" w:eastAsia="方正楷体_GBK"/>
          <w:b/>
          <w:spacing w:val="-4"/>
          <w:sz w:val="33"/>
          <w:szCs w:val="33"/>
        </w:rPr>
      </w:pPr>
      <w:r>
        <w:rPr>
          <w:rFonts w:ascii="Times New Roman" w:eastAsia="方正楷体_GBK"/>
          <w:b/>
          <w:spacing w:val="-4"/>
          <w:sz w:val="33"/>
          <w:szCs w:val="33"/>
        </w:rPr>
        <w:t>（三）项目自评步骤及方法</w:t>
      </w:r>
    </w:p>
    <w:p>
      <w:pPr>
        <w:autoSpaceDE w:val="0"/>
        <w:autoSpaceDN w:val="0"/>
        <w:adjustRightInd w:val="0"/>
        <w:spacing w:line="580" w:lineRule="exact"/>
        <w:ind w:firstLine="624" w:firstLineChars="20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由单位负责人和财务分管领导挂帅，各部门、各直属事业单位负责人共同参与，办公室具体承办，以部门+项目负责人的方式，对照既定绩效目标逐项自评，详细说明完成情况、存在问题，分析未完成原因，提出整改措施和工作建议。</w:t>
      </w:r>
    </w:p>
    <w:p>
      <w:pPr>
        <w:autoSpaceDE w:val="0"/>
        <w:autoSpaceDN w:val="0"/>
        <w:adjustRightInd w:val="0"/>
        <w:spacing w:line="580" w:lineRule="exact"/>
        <w:ind w:firstLine="644" w:firstLineChars="200"/>
        <w:jc w:val="left"/>
        <w:rPr>
          <w:rFonts w:eastAsia="方正黑体_GBK"/>
          <w:spacing w:val="-4"/>
          <w:kern w:val="0"/>
          <w:sz w:val="33"/>
          <w:szCs w:val="33"/>
        </w:rPr>
      </w:pPr>
      <w:r>
        <w:rPr>
          <w:rFonts w:eastAsia="方正黑体_GBK"/>
          <w:spacing w:val="-4"/>
          <w:kern w:val="0"/>
          <w:sz w:val="33"/>
          <w:szCs w:val="33"/>
        </w:rPr>
        <w:t>二、项目资金申报及使用情况</w:t>
      </w:r>
    </w:p>
    <w:p>
      <w:pPr>
        <w:autoSpaceDE w:val="0"/>
        <w:autoSpaceDN w:val="0"/>
        <w:adjustRightInd w:val="0"/>
        <w:spacing w:line="580" w:lineRule="exact"/>
        <w:ind w:firstLine="647" w:firstLineChars="200"/>
        <w:jc w:val="left"/>
        <w:rPr>
          <w:rFonts w:eastAsia="方正楷体_GBK"/>
          <w:b/>
          <w:spacing w:val="-4"/>
          <w:kern w:val="0"/>
          <w:sz w:val="33"/>
          <w:szCs w:val="33"/>
        </w:rPr>
      </w:pPr>
      <w:r>
        <w:rPr>
          <w:rFonts w:eastAsia="方正楷体_GBK"/>
          <w:b/>
          <w:spacing w:val="-4"/>
          <w:kern w:val="0"/>
          <w:sz w:val="33"/>
          <w:szCs w:val="33"/>
        </w:rPr>
        <w:t>（一）项目资金申报及批复情况。</w:t>
      </w:r>
    </w:p>
    <w:p>
      <w:pPr>
        <w:autoSpaceDE w:val="0"/>
        <w:autoSpaceDN w:val="0"/>
        <w:adjustRightInd w:val="0"/>
        <w:spacing w:line="580" w:lineRule="exact"/>
        <w:ind w:firstLine="624" w:firstLineChars="20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2021年度科普活动专项资金预算在上一年度末由市科协机关各部门、直属事业单位、市老科协根据财政预算编制要求和本部门工作计划申报经费项目，按我市常住人口人均1元的标准测算，认真开展项目事前绩效评估，经市科协党组会研究同意后上报财政，经财政评估合格后纳入预算项目库；经攀枝花市十届人大八次会议审查通过后，市财政于2月8日下达批复，市科协按照规定及时公开年度预算，调整细化项目绩效目标并组织实施。</w:t>
      </w:r>
    </w:p>
    <w:p>
      <w:pPr>
        <w:autoSpaceDE w:val="0"/>
        <w:autoSpaceDN w:val="0"/>
        <w:adjustRightInd w:val="0"/>
        <w:spacing w:line="580" w:lineRule="exact"/>
        <w:ind w:firstLine="647" w:firstLineChars="200"/>
        <w:jc w:val="left"/>
        <w:rPr>
          <w:rFonts w:eastAsia="方正楷体_GBK"/>
          <w:b/>
          <w:spacing w:val="-4"/>
          <w:kern w:val="0"/>
          <w:sz w:val="33"/>
          <w:szCs w:val="33"/>
        </w:rPr>
      </w:pPr>
      <w:r>
        <w:rPr>
          <w:rFonts w:eastAsia="方正楷体_GBK"/>
          <w:b/>
          <w:spacing w:val="-4"/>
          <w:kern w:val="0"/>
          <w:sz w:val="33"/>
          <w:szCs w:val="33"/>
        </w:rPr>
        <w:t>（二）资金计划、到位及使用情况。</w:t>
      </w:r>
    </w:p>
    <w:p>
      <w:pPr>
        <w:autoSpaceDE w:val="0"/>
        <w:autoSpaceDN w:val="0"/>
        <w:adjustRightInd w:val="0"/>
        <w:spacing w:line="580" w:lineRule="exact"/>
        <w:ind w:firstLine="647" w:firstLineChars="200"/>
        <w:jc w:val="left"/>
        <w:rPr>
          <w:rFonts w:eastAsia="方正仿宋_GBK"/>
          <w:b/>
          <w:spacing w:val="-4"/>
          <w:kern w:val="0"/>
          <w:sz w:val="33"/>
          <w:szCs w:val="33"/>
        </w:rPr>
      </w:pPr>
      <w:r>
        <w:rPr>
          <w:rFonts w:eastAsia="方正仿宋_GBK"/>
          <w:b/>
          <w:spacing w:val="-4"/>
          <w:kern w:val="0"/>
          <w:sz w:val="33"/>
          <w:szCs w:val="33"/>
        </w:rPr>
        <w:t>1．资金计划。</w:t>
      </w:r>
    </w:p>
    <w:p>
      <w:pPr>
        <w:autoSpaceDE w:val="0"/>
        <w:autoSpaceDN w:val="0"/>
        <w:adjustRightInd w:val="0"/>
        <w:spacing w:line="580" w:lineRule="exact"/>
        <w:ind w:firstLine="624" w:firstLineChars="20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2021年科普活动项目年初安排项目支出预算94.50万元，年终追减项目支出预算8.45万元，全年实际使用资金计划86.05万元。市科协按月提前申报用款计划，严格按资金计划、财经纪律和项目进度开支。</w:t>
      </w:r>
    </w:p>
    <w:p>
      <w:pPr>
        <w:autoSpaceDE w:val="0"/>
        <w:autoSpaceDN w:val="0"/>
        <w:adjustRightInd w:val="0"/>
        <w:spacing w:line="580" w:lineRule="exact"/>
        <w:ind w:firstLine="647" w:firstLineChars="200"/>
        <w:jc w:val="left"/>
        <w:rPr>
          <w:rFonts w:eastAsia="方正仿宋_GBK"/>
          <w:b/>
          <w:spacing w:val="-4"/>
          <w:kern w:val="0"/>
          <w:sz w:val="33"/>
          <w:szCs w:val="33"/>
        </w:rPr>
      </w:pPr>
      <w:r>
        <w:rPr>
          <w:rFonts w:eastAsia="方正仿宋_GBK"/>
          <w:b/>
          <w:spacing w:val="-4"/>
          <w:kern w:val="0"/>
          <w:sz w:val="33"/>
          <w:szCs w:val="33"/>
        </w:rPr>
        <w:t>2．资金到位。</w:t>
      </w:r>
    </w:p>
    <w:p>
      <w:pPr>
        <w:autoSpaceDE w:val="0"/>
        <w:autoSpaceDN w:val="0"/>
        <w:adjustRightInd w:val="0"/>
        <w:spacing w:line="580" w:lineRule="exact"/>
        <w:ind w:firstLine="624" w:firstLineChars="200"/>
        <w:jc w:val="left"/>
        <w:rPr>
          <w:rFonts w:eastAsia="方正仿宋_GBK"/>
          <w:spacing w:val="-4"/>
          <w:kern w:val="0"/>
          <w:sz w:val="32"/>
          <w:szCs w:val="32"/>
        </w:rPr>
      </w:pPr>
      <w:r>
        <w:rPr>
          <w:rFonts w:eastAsia="方正仿宋_GBK"/>
          <w:spacing w:val="-4"/>
          <w:kern w:val="0"/>
          <w:sz w:val="32"/>
          <w:szCs w:val="32"/>
        </w:rPr>
        <w:t>以上资金计划按照资金管理权限由市级财政按时批复下达和授权支付，资金到位情况与资金计划相符。</w:t>
      </w:r>
    </w:p>
    <w:p>
      <w:pPr>
        <w:autoSpaceDE w:val="0"/>
        <w:autoSpaceDN w:val="0"/>
        <w:adjustRightInd w:val="0"/>
        <w:spacing w:line="580" w:lineRule="exact"/>
        <w:ind w:firstLine="647" w:firstLineChars="200"/>
        <w:jc w:val="left"/>
        <w:rPr>
          <w:rFonts w:eastAsia="方正仿宋_GBK"/>
          <w:b/>
          <w:spacing w:val="-4"/>
          <w:kern w:val="0"/>
          <w:sz w:val="33"/>
          <w:szCs w:val="33"/>
        </w:rPr>
      </w:pPr>
      <w:r>
        <w:rPr>
          <w:rFonts w:eastAsia="方正仿宋_GBK"/>
          <w:b/>
          <w:spacing w:val="-4"/>
          <w:kern w:val="0"/>
          <w:sz w:val="33"/>
          <w:szCs w:val="33"/>
        </w:rPr>
        <w:t>3．资金使用。</w:t>
      </w:r>
    </w:p>
    <w:p>
      <w:pPr>
        <w:autoSpaceDE w:val="0"/>
        <w:autoSpaceDN w:val="0"/>
        <w:adjustRightInd w:val="0"/>
        <w:spacing w:line="580" w:lineRule="exact"/>
        <w:ind w:firstLine="624" w:firstLineChars="200"/>
        <w:jc w:val="left"/>
        <w:rPr>
          <w:rFonts w:ascii="方正仿宋_GBK" w:hAnsi="方正仿宋_GBK" w:eastAsia="方正仿宋_GBK"/>
          <w:spacing w:val="-4"/>
          <w:kern w:val="0"/>
          <w:sz w:val="32"/>
          <w:szCs w:val="32"/>
        </w:rPr>
      </w:pPr>
      <w:r>
        <w:rPr>
          <w:rFonts w:ascii="方正仿宋_GBK" w:hAnsi="方正仿宋_GBK" w:eastAsia="方正仿宋_GBK"/>
          <w:color w:val="333333"/>
          <w:spacing w:val="-4"/>
          <w:sz w:val="32"/>
          <w:szCs w:val="32"/>
          <w:shd w:val="clear" w:color="auto" w:fill="FFFFFF"/>
        </w:rPr>
        <w:t>2021年初安排项目预算94.50万元（全部为市级财政预算），其中年终追减预算8.45万元，实际支出项目预算86.05万元，年终无结余结转及未支付资金，预算执行率为100%</w:t>
      </w:r>
      <w:r>
        <w:rPr>
          <w:rFonts w:ascii="方正仿宋_GBK" w:hAnsi="方正仿宋_GBK" w:eastAsia="方正仿宋_GBK"/>
          <w:spacing w:val="-4"/>
          <w:kern w:val="0"/>
          <w:sz w:val="32"/>
          <w:szCs w:val="32"/>
        </w:rPr>
        <w:t>，较好的使用了项目资金，保证了财政资金使用的安全性、规范性及有效性。</w:t>
      </w:r>
    </w:p>
    <w:p>
      <w:pPr>
        <w:autoSpaceDE w:val="0"/>
        <w:autoSpaceDN w:val="0"/>
        <w:adjustRightInd w:val="0"/>
        <w:spacing w:line="580" w:lineRule="exact"/>
        <w:ind w:firstLine="647" w:firstLineChars="200"/>
        <w:jc w:val="left"/>
        <w:rPr>
          <w:rFonts w:eastAsia="方正楷体_GBK"/>
          <w:b/>
          <w:spacing w:val="-4"/>
          <w:kern w:val="0"/>
          <w:sz w:val="33"/>
          <w:szCs w:val="33"/>
        </w:rPr>
      </w:pPr>
      <w:r>
        <w:rPr>
          <w:rFonts w:eastAsia="方正楷体_GBK"/>
          <w:b/>
          <w:spacing w:val="-4"/>
          <w:kern w:val="0"/>
          <w:sz w:val="33"/>
          <w:szCs w:val="33"/>
        </w:rPr>
        <w:t>（三）项目财务管理情况。</w:t>
      </w:r>
    </w:p>
    <w:p>
      <w:pPr>
        <w:autoSpaceDE w:val="0"/>
        <w:autoSpaceDN w:val="0"/>
        <w:adjustRightInd w:val="0"/>
        <w:spacing w:line="580" w:lineRule="exact"/>
        <w:ind w:firstLine="624" w:firstLineChars="200"/>
        <w:jc w:val="left"/>
        <w:rPr>
          <w:rFonts w:eastAsia="方正仿宋_GBK"/>
          <w:spacing w:val="-4"/>
          <w:kern w:val="0"/>
          <w:sz w:val="32"/>
          <w:szCs w:val="32"/>
        </w:rPr>
      </w:pPr>
      <w:r>
        <w:rPr>
          <w:rFonts w:eastAsia="方正仿宋_GBK"/>
          <w:spacing w:val="-4"/>
          <w:kern w:val="0"/>
          <w:sz w:val="32"/>
          <w:szCs w:val="32"/>
        </w:rPr>
        <w:t>市科协坚持目标导向，强化科普活动资金进度监控和全流程绩效评价，跟踪加强项目执行的监督检查，有针对性地优化财务工作流程，不断健全集体决策制度，加强内控建设，夯实会计基础工作，完善资金报账签批程序，依法公开财务报表报告，主动接受社会监督，切实提升部门财务管理水平，做到了严格执行财务管理制度，账务处理及时，会计核算规范。</w:t>
      </w:r>
    </w:p>
    <w:p>
      <w:pPr>
        <w:autoSpaceDE w:val="0"/>
        <w:autoSpaceDN w:val="0"/>
        <w:adjustRightInd w:val="0"/>
        <w:spacing w:line="580" w:lineRule="exact"/>
        <w:ind w:firstLine="644" w:firstLineChars="200"/>
        <w:jc w:val="left"/>
        <w:rPr>
          <w:rFonts w:eastAsia="方正黑体_GBK"/>
          <w:spacing w:val="-4"/>
          <w:kern w:val="0"/>
          <w:sz w:val="33"/>
          <w:szCs w:val="33"/>
        </w:rPr>
      </w:pPr>
      <w:r>
        <w:rPr>
          <w:rFonts w:eastAsia="方正黑体_GBK"/>
          <w:spacing w:val="-4"/>
          <w:kern w:val="0"/>
          <w:sz w:val="33"/>
          <w:szCs w:val="33"/>
        </w:rPr>
        <w:t>三、项目实施及管理情况</w:t>
      </w:r>
    </w:p>
    <w:p>
      <w:pPr>
        <w:pStyle w:val="7"/>
        <w:spacing w:line="580" w:lineRule="exact"/>
        <w:ind w:firstLine="637" w:firstLineChars="197"/>
        <w:jc w:val="left"/>
        <w:rPr>
          <w:rFonts w:ascii="Times New Roman" w:hAnsi="Times New Roman" w:eastAsia="方正楷体_GBK"/>
          <w:b/>
          <w:spacing w:val="-4"/>
          <w:kern w:val="0"/>
          <w:sz w:val="33"/>
          <w:szCs w:val="33"/>
        </w:rPr>
      </w:pPr>
      <w:r>
        <w:rPr>
          <w:rFonts w:ascii="Times New Roman" w:hAnsi="Times New Roman" w:eastAsia="方正楷体_GBK"/>
          <w:b/>
          <w:spacing w:val="-4"/>
          <w:kern w:val="0"/>
          <w:sz w:val="33"/>
          <w:szCs w:val="33"/>
        </w:rPr>
        <w:t>（一）项目组织架构及实施流程。</w:t>
      </w:r>
    </w:p>
    <w:p>
      <w:pPr>
        <w:pStyle w:val="7"/>
        <w:spacing w:line="580" w:lineRule="exact"/>
        <w:ind w:firstLine="624" w:firstLineChars="200"/>
        <w:jc w:val="left"/>
        <w:rPr>
          <w:rFonts w:ascii="Times New Roman" w:hAnsi="Times New Roman" w:eastAsia="方正仿宋_GBK"/>
          <w:spacing w:val="-4"/>
          <w:kern w:val="0"/>
          <w:sz w:val="32"/>
          <w:szCs w:val="32"/>
        </w:rPr>
      </w:pPr>
      <w:r>
        <w:rPr>
          <w:rFonts w:ascii="Times New Roman" w:hAnsi="Times New Roman" w:eastAsia="方正仿宋_GBK"/>
          <w:spacing w:val="-4"/>
          <w:kern w:val="0"/>
          <w:sz w:val="32"/>
          <w:szCs w:val="32"/>
        </w:rPr>
        <w:t>按照前述相关管理制度执行。</w:t>
      </w:r>
    </w:p>
    <w:p>
      <w:pPr>
        <w:pStyle w:val="7"/>
        <w:spacing w:line="580" w:lineRule="exact"/>
        <w:ind w:firstLine="647" w:firstLineChars="200"/>
        <w:jc w:val="left"/>
        <w:rPr>
          <w:rFonts w:ascii="Times New Roman" w:hAnsi="Times New Roman" w:eastAsia="方正仿宋_GBK"/>
          <w:b/>
          <w:spacing w:val="-4"/>
          <w:kern w:val="0"/>
          <w:sz w:val="33"/>
          <w:szCs w:val="33"/>
        </w:rPr>
      </w:pPr>
      <w:r>
        <w:rPr>
          <w:rFonts w:ascii="Times New Roman" w:hAnsi="Times New Roman" w:eastAsia="方正仿宋_GBK"/>
          <w:b/>
          <w:spacing w:val="-4"/>
          <w:kern w:val="0"/>
          <w:sz w:val="33"/>
          <w:szCs w:val="33"/>
        </w:rPr>
        <w:t>（二）项目管理情况。</w:t>
      </w:r>
    </w:p>
    <w:p>
      <w:pPr>
        <w:adjustRightInd w:val="0"/>
        <w:snapToGrid w:val="0"/>
        <w:spacing w:line="580" w:lineRule="exact"/>
        <w:ind w:firstLine="720"/>
        <w:rPr>
          <w:rFonts w:eastAsia="仿宋_GB2312"/>
          <w:sz w:val="32"/>
          <w:szCs w:val="32"/>
          <w:lang w:val="zh-CN"/>
        </w:rPr>
      </w:pPr>
      <w:r>
        <w:rPr>
          <w:rFonts w:ascii="方正仿宋_GBK" w:hAnsi="方正仿宋_GBK" w:eastAsia="方正仿宋_GBK"/>
          <w:spacing w:val="-4"/>
          <w:kern w:val="0"/>
          <w:sz w:val="32"/>
          <w:szCs w:val="32"/>
        </w:rPr>
        <w:t>通过健全项目申报和内控建设实施项目管理</w:t>
      </w:r>
      <w:r>
        <w:rPr>
          <w:rFonts w:hint="eastAsia" w:ascii="方正仿宋_GBK" w:hAnsi="方正仿宋_GBK" w:eastAsia="方正仿宋_GBK"/>
          <w:spacing w:val="-4"/>
          <w:kern w:val="0"/>
          <w:sz w:val="32"/>
          <w:szCs w:val="32"/>
        </w:rPr>
        <w:t>，</w:t>
      </w:r>
      <w:r>
        <w:rPr>
          <w:rFonts w:ascii="方正仿宋_GBK" w:hAnsi="方正仿宋_GBK" w:eastAsia="方正仿宋_GBK"/>
          <w:spacing w:val="-4"/>
          <w:kern w:val="0"/>
          <w:sz w:val="32"/>
          <w:szCs w:val="32"/>
        </w:rPr>
        <w:t>项目申报按照主管部门要求实施</w:t>
      </w:r>
      <w:r>
        <w:rPr>
          <w:rFonts w:hint="eastAsia" w:eastAsia="仿宋_GB2312"/>
          <w:sz w:val="32"/>
          <w:szCs w:val="32"/>
          <w:lang w:val="zh-CN"/>
        </w:rPr>
        <w:t>，并制定绩效目标；办公室成立项目评价小组对项目资金执行情况进行绩效评价；</w:t>
      </w:r>
      <w:r>
        <w:rPr>
          <w:rFonts w:ascii="方正仿宋_GBK" w:hAnsi="方正仿宋_GBK" w:eastAsia="方正仿宋_GBK"/>
          <w:spacing w:val="-4"/>
          <w:kern w:val="0"/>
          <w:sz w:val="32"/>
          <w:szCs w:val="32"/>
        </w:rPr>
        <w:t>成立并适时调整单位内控领导小组及工作小组</w:t>
      </w:r>
      <w:r>
        <w:rPr>
          <w:rFonts w:hint="eastAsia" w:ascii="方正仿宋_GBK" w:hAnsi="方正仿宋_GBK" w:eastAsia="方正仿宋_GBK"/>
          <w:spacing w:val="-4"/>
          <w:kern w:val="0"/>
          <w:sz w:val="32"/>
          <w:szCs w:val="32"/>
        </w:rPr>
        <w:t>，加强</w:t>
      </w:r>
      <w:r>
        <w:rPr>
          <w:rFonts w:ascii="方正仿宋_GBK" w:hAnsi="方正仿宋_GBK" w:eastAsia="方正仿宋_GBK"/>
          <w:spacing w:val="-4"/>
          <w:kern w:val="0"/>
          <w:sz w:val="32"/>
          <w:szCs w:val="32"/>
        </w:rPr>
        <w:t>单位</w:t>
      </w:r>
      <w:r>
        <w:rPr>
          <w:rFonts w:hint="eastAsia" w:ascii="方正仿宋_GBK" w:hAnsi="方正仿宋_GBK" w:eastAsia="方正仿宋_GBK"/>
          <w:spacing w:val="-4"/>
          <w:kern w:val="0"/>
          <w:sz w:val="32"/>
          <w:szCs w:val="32"/>
        </w:rPr>
        <w:t>、</w:t>
      </w:r>
      <w:r>
        <w:rPr>
          <w:rFonts w:ascii="方正仿宋_GBK" w:hAnsi="方正仿宋_GBK" w:eastAsia="方正仿宋_GBK"/>
          <w:spacing w:val="-4"/>
          <w:kern w:val="0"/>
          <w:sz w:val="32"/>
          <w:szCs w:val="32"/>
        </w:rPr>
        <w:t>业务层面内控建设</w:t>
      </w:r>
      <w:r>
        <w:rPr>
          <w:rFonts w:hint="eastAsia" w:ascii="方正仿宋_GBK" w:hAnsi="方正仿宋_GBK" w:eastAsia="方正仿宋_GBK"/>
          <w:spacing w:val="-4"/>
          <w:kern w:val="0"/>
          <w:sz w:val="32"/>
          <w:szCs w:val="32"/>
        </w:rPr>
        <w:t>，</w:t>
      </w:r>
      <w:r>
        <w:rPr>
          <w:rFonts w:ascii="方正仿宋_GBK" w:hAnsi="方正仿宋_GBK" w:eastAsia="方正仿宋_GBK"/>
          <w:spacing w:val="-4"/>
          <w:kern w:val="0"/>
          <w:sz w:val="32"/>
          <w:szCs w:val="32"/>
        </w:rPr>
        <w:t>规范修订《攀枝花市科学技术协会内部控制手册（试行）》，建立重大事项议事决策机制，建立健全集体研究、专家论证和技术咨询相结合的辅助决策机制，认真</w:t>
      </w:r>
      <w:r>
        <w:rPr>
          <w:rFonts w:hint="eastAsia" w:ascii="方正仿宋_GBK" w:hAnsi="方正仿宋_GBK" w:eastAsia="方正仿宋_GBK"/>
          <w:spacing w:val="-4"/>
          <w:kern w:val="0"/>
          <w:sz w:val="32"/>
          <w:szCs w:val="32"/>
        </w:rPr>
        <w:t>执行内控</w:t>
      </w:r>
      <w:r>
        <w:rPr>
          <w:rFonts w:ascii="方正仿宋_GBK" w:hAnsi="方正仿宋_GBK" w:eastAsia="方正仿宋_GBK"/>
          <w:spacing w:val="-4"/>
          <w:kern w:val="0"/>
          <w:sz w:val="32"/>
          <w:szCs w:val="32"/>
        </w:rPr>
        <w:t>管理制度，不断提高决策效率和水平。</w:t>
      </w:r>
    </w:p>
    <w:p>
      <w:pPr>
        <w:pStyle w:val="7"/>
        <w:spacing w:line="580" w:lineRule="exact"/>
        <w:ind w:firstLine="647" w:firstLineChars="200"/>
        <w:jc w:val="left"/>
        <w:rPr>
          <w:rFonts w:ascii="Times New Roman" w:hAnsi="Times New Roman" w:eastAsia="方正仿宋_GBK"/>
          <w:spacing w:val="-4"/>
          <w:kern w:val="0"/>
          <w:sz w:val="33"/>
          <w:szCs w:val="33"/>
        </w:rPr>
      </w:pPr>
      <w:r>
        <w:rPr>
          <w:rFonts w:ascii="Times New Roman" w:hAnsi="Times New Roman" w:eastAsia="方正仿宋_GBK"/>
          <w:b/>
          <w:spacing w:val="-4"/>
          <w:kern w:val="0"/>
          <w:sz w:val="33"/>
          <w:szCs w:val="33"/>
        </w:rPr>
        <w:t>（三）项目监管情况。</w:t>
      </w:r>
    </w:p>
    <w:p>
      <w:pPr>
        <w:pStyle w:val="7"/>
        <w:spacing w:line="580" w:lineRule="exact"/>
        <w:ind w:firstLine="624" w:firstLineChars="200"/>
        <w:jc w:val="left"/>
        <w:rPr>
          <w:rFonts w:ascii="Times New Roman" w:hAnsi="Times New Roman" w:eastAsia="方正仿宋_GBK"/>
          <w:spacing w:val="-4"/>
          <w:kern w:val="0"/>
          <w:sz w:val="32"/>
          <w:szCs w:val="32"/>
        </w:rPr>
      </w:pPr>
      <w:r>
        <w:rPr>
          <w:rFonts w:ascii="Times New Roman" w:hAnsi="Times New Roman" w:eastAsia="方正仿宋_GBK"/>
          <w:spacing w:val="-4"/>
          <w:kern w:val="0"/>
          <w:sz w:val="32"/>
          <w:szCs w:val="32"/>
        </w:rPr>
        <w:t>市科协按照财政、人社、审计、纪检、巡察组等部门监管要求认真开展严肃财经纪律、加强财务管理各个方面的专项清查监督整治工作，对发现的问题进行了认真整改，建立了监督检查台账，对项目资金实行精细化管理，按时核对通报收支数据，督促项目执行进度，党组定期听取项目实施和财务工作汇报，干部职工廉洁法治意识得到了大幅提高，内部管理日趋规范，规章制度、工作程序不断完善。</w:t>
      </w:r>
    </w:p>
    <w:p>
      <w:pPr>
        <w:pStyle w:val="7"/>
        <w:spacing w:line="580" w:lineRule="exact"/>
        <w:ind w:firstLine="644" w:firstLineChars="200"/>
        <w:jc w:val="left"/>
        <w:rPr>
          <w:rFonts w:ascii="Times New Roman" w:hAnsi="Times New Roman" w:eastAsia="方正黑体_GBK"/>
          <w:spacing w:val="-4"/>
          <w:kern w:val="0"/>
          <w:sz w:val="33"/>
          <w:szCs w:val="33"/>
        </w:rPr>
      </w:pPr>
      <w:r>
        <w:rPr>
          <w:rFonts w:ascii="Times New Roman" w:hAnsi="Times New Roman" w:eastAsia="方正黑体_GBK"/>
          <w:spacing w:val="-4"/>
          <w:kern w:val="0"/>
          <w:sz w:val="33"/>
          <w:szCs w:val="33"/>
        </w:rPr>
        <w:t>四、项目绩效情况</w:t>
      </w:r>
    </w:p>
    <w:p>
      <w:pPr>
        <w:pStyle w:val="7"/>
        <w:spacing w:line="580" w:lineRule="exact"/>
        <w:ind w:firstLine="647" w:firstLineChars="200"/>
        <w:jc w:val="left"/>
        <w:rPr>
          <w:rFonts w:ascii="Times New Roman" w:hAnsi="Times New Roman" w:eastAsia="方正楷体_GBK"/>
          <w:b/>
          <w:spacing w:val="-4"/>
          <w:kern w:val="0"/>
          <w:sz w:val="33"/>
          <w:szCs w:val="33"/>
        </w:rPr>
      </w:pPr>
      <w:r>
        <w:rPr>
          <w:rFonts w:ascii="Times New Roman" w:hAnsi="Times New Roman" w:eastAsia="方正楷体_GBK"/>
          <w:b/>
          <w:spacing w:val="-4"/>
          <w:kern w:val="0"/>
          <w:sz w:val="33"/>
          <w:szCs w:val="33"/>
        </w:rPr>
        <w:t>（一）产出指标完成情况、效益指标完成情况分析</w:t>
      </w:r>
    </w:p>
    <w:p>
      <w:pPr>
        <w:pStyle w:val="7"/>
        <w:spacing w:line="580" w:lineRule="exact"/>
        <w:ind w:firstLine="624" w:firstLineChars="200"/>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因市科协专项经费较少，各项业务工作均在“科普活动”打捆经费中列支，在项目执行过程中加强部门协作，及时推进，攻坚克难，确保绩效目标落实到位。项目产出指标完成情况、效益指标完成情况归纳总结如下：</w:t>
      </w:r>
    </w:p>
    <w:p>
      <w:pPr>
        <w:pStyle w:val="7"/>
        <w:spacing w:line="580" w:lineRule="exact"/>
        <w:ind w:firstLine="520" w:firstLineChars="161"/>
        <w:jc w:val="left"/>
        <w:rPr>
          <w:rFonts w:ascii="Times New Roman" w:hAnsi="Times New Roman" w:eastAsia="方正楷体_GBK"/>
          <w:b/>
          <w:spacing w:val="-4"/>
          <w:kern w:val="0"/>
          <w:sz w:val="33"/>
          <w:szCs w:val="33"/>
        </w:rPr>
      </w:pPr>
      <w:r>
        <w:rPr>
          <w:rFonts w:ascii="Times New Roman" w:hAnsi="Times New Roman" w:eastAsia="方正楷体_GBK"/>
          <w:b/>
          <w:spacing w:val="-4"/>
          <w:kern w:val="0"/>
          <w:sz w:val="33"/>
          <w:szCs w:val="33"/>
        </w:rPr>
        <w:t>1.积极组织谋划，推动天府科技云各项工作落地落实</w:t>
      </w:r>
    </w:p>
    <w:p>
      <w:pPr>
        <w:pStyle w:val="7"/>
        <w:spacing w:line="580" w:lineRule="exact"/>
        <w:ind w:firstLine="652" w:firstLineChars="209"/>
        <w:jc w:val="left"/>
        <w:rPr>
          <w:rFonts w:ascii="方正仿宋_GBK" w:hAnsi="方正仿宋_GBK" w:eastAsia="方正仿宋_GBK"/>
          <w:spacing w:val="-4"/>
          <w:kern w:val="0"/>
          <w:sz w:val="32"/>
          <w:szCs w:val="32"/>
        </w:rPr>
      </w:pPr>
      <w:r>
        <w:rPr>
          <w:rFonts w:ascii="方正仿宋_GBK" w:hAnsi="方正仿宋_GBK" w:eastAsia="方正仿宋_GBK"/>
          <w:bCs/>
          <w:spacing w:val="-4"/>
          <w:kern w:val="0"/>
          <w:sz w:val="32"/>
          <w:szCs w:val="32"/>
        </w:rPr>
        <w:t>一是明确年度目标。</w:t>
      </w:r>
      <w:r>
        <w:rPr>
          <w:rFonts w:ascii="方正仿宋_GBK" w:hAnsi="方正仿宋_GBK" w:eastAsia="方正仿宋_GBK"/>
          <w:spacing w:val="-4"/>
          <w:kern w:val="0"/>
          <w:sz w:val="32"/>
          <w:szCs w:val="32"/>
        </w:rPr>
        <w:t>制定《2021年攀枝花市天府科技云工作推进方案》，明确年度目标和具体任务，切实推动天府科技云各项工作落实。</w:t>
      </w:r>
      <w:r>
        <w:rPr>
          <w:rFonts w:ascii="方正仿宋_GBK" w:hAnsi="方正仿宋_GBK" w:eastAsia="方正仿宋_GBK"/>
          <w:bCs/>
          <w:spacing w:val="-4"/>
          <w:kern w:val="0"/>
          <w:sz w:val="32"/>
          <w:szCs w:val="32"/>
        </w:rPr>
        <w:t>二是形成工作机制。</w:t>
      </w:r>
      <w:r>
        <w:rPr>
          <w:rFonts w:ascii="方正仿宋_GBK" w:hAnsi="方正仿宋_GBK" w:eastAsia="方正仿宋_GBK"/>
          <w:spacing w:val="-4"/>
          <w:kern w:val="0"/>
          <w:sz w:val="32"/>
          <w:szCs w:val="32"/>
        </w:rPr>
        <w:t>全年召开联席会议2次、联席会议办公会工作会议9次、工作情况通报12次，形成半月通报、每月调度、条块结合的工作机制，实时掌握工作进度、把握工作方向、督促工作落实。</w:t>
      </w:r>
      <w:r>
        <w:rPr>
          <w:rFonts w:ascii="方正仿宋_GBK" w:hAnsi="方正仿宋_GBK" w:eastAsia="方正仿宋_GBK"/>
          <w:bCs/>
          <w:spacing w:val="-4"/>
          <w:kern w:val="0"/>
          <w:sz w:val="32"/>
          <w:szCs w:val="32"/>
        </w:rPr>
        <w:t>三是深入开展调研。</w:t>
      </w:r>
      <w:r>
        <w:rPr>
          <w:rFonts w:ascii="方正仿宋_GBK" w:hAnsi="方正仿宋_GBK" w:eastAsia="方正仿宋_GBK"/>
          <w:spacing w:val="-4"/>
          <w:kern w:val="0"/>
          <w:sz w:val="32"/>
          <w:szCs w:val="32"/>
        </w:rPr>
        <w:t>深入市农科院、攀研院、川煤集团华荣能源攀枝花中心等30余家企事业单位，与科技工作者开展面对面座谈交流，收集工作建议4500余条，积极拓展天府科技云使用的广度和深度。</w:t>
      </w:r>
      <w:r>
        <w:rPr>
          <w:rFonts w:ascii="方正仿宋_GBK" w:hAnsi="方正仿宋_GBK" w:eastAsia="方正仿宋_GBK"/>
          <w:bCs/>
          <w:spacing w:val="-4"/>
          <w:kern w:val="0"/>
          <w:sz w:val="32"/>
          <w:szCs w:val="32"/>
        </w:rPr>
        <w:t>四是全面开展培训。</w:t>
      </w:r>
      <w:r>
        <w:rPr>
          <w:rFonts w:ascii="方正仿宋_GBK" w:hAnsi="方正仿宋_GBK" w:eastAsia="方正仿宋_GBK"/>
          <w:spacing w:val="-4"/>
          <w:kern w:val="0"/>
          <w:sz w:val="32"/>
          <w:szCs w:val="32"/>
        </w:rPr>
        <w:t>全年组织市县（区）两级部门、企事业单位、学会（协会）相关工作人员共计410人次参加平台应用培训，进一步打通科技服务“堵点”，畅通科技服务渠道。</w:t>
      </w:r>
      <w:r>
        <w:rPr>
          <w:rFonts w:ascii="方正仿宋_GBK" w:hAnsi="方正仿宋_GBK" w:eastAsia="方正仿宋_GBK"/>
          <w:bCs/>
          <w:spacing w:val="-4"/>
          <w:kern w:val="0"/>
          <w:sz w:val="32"/>
          <w:szCs w:val="32"/>
        </w:rPr>
        <w:t>五是做好现场推介。</w:t>
      </w:r>
      <w:r>
        <w:rPr>
          <w:rFonts w:ascii="方正仿宋_GBK" w:hAnsi="方正仿宋_GBK" w:eastAsia="方正仿宋_GBK"/>
          <w:spacing w:val="-4"/>
          <w:kern w:val="0"/>
          <w:sz w:val="32"/>
          <w:szCs w:val="32"/>
        </w:rPr>
        <w:t>组织参加四川省首届“科创中国·天府科技云服务大会”，举办4场专场推介会，115个项目参加推介活动，7个项目达成合作意向，举办2场签约仪式，5个项目现场签约，签约总金额2.8亿元，位居全省市州前列。</w:t>
      </w:r>
    </w:p>
    <w:p>
      <w:pPr>
        <w:pStyle w:val="7"/>
        <w:spacing w:line="580" w:lineRule="exact"/>
        <w:ind w:firstLine="652" w:firstLineChars="209"/>
        <w:jc w:val="left"/>
        <w:rPr>
          <w:rFonts w:ascii="方正仿宋_GBK" w:hAnsi="方正仿宋_GBK" w:eastAsia="方正仿宋_GBK"/>
          <w:spacing w:val="-4"/>
          <w:kern w:val="0"/>
          <w:sz w:val="32"/>
          <w:szCs w:val="32"/>
        </w:rPr>
      </w:pPr>
      <w:r>
        <w:rPr>
          <w:rFonts w:ascii="方正仿宋_GBK" w:hAnsi="方正仿宋_GBK" w:eastAsia="方正仿宋_GBK"/>
          <w:spacing w:val="-4"/>
          <w:kern w:val="0"/>
          <w:sz w:val="32"/>
          <w:szCs w:val="32"/>
        </w:rPr>
        <w:t>截至2021年底，全市在天府科技云平台累计注册个人用户79968人、组织机构用户3819个；发布科技服务所能15817项、科技服务需求5605项、科技成果257项、科研项目需求141项；达成交易79项，成交金额约4.4亿元。</w:t>
      </w:r>
    </w:p>
    <w:p>
      <w:pPr>
        <w:pStyle w:val="7"/>
        <w:spacing w:line="580" w:lineRule="exact"/>
        <w:ind w:firstLine="520" w:firstLineChars="161"/>
        <w:jc w:val="left"/>
        <w:rPr>
          <w:rFonts w:ascii="Times New Roman" w:hAnsi="Times New Roman" w:eastAsia="方正楷体_GBK"/>
          <w:b/>
          <w:spacing w:val="-4"/>
          <w:kern w:val="0"/>
          <w:sz w:val="33"/>
          <w:szCs w:val="33"/>
        </w:rPr>
      </w:pPr>
      <w:r>
        <w:rPr>
          <w:rFonts w:ascii="Times New Roman" w:hAnsi="Times New Roman" w:eastAsia="方正楷体_GBK"/>
          <w:b/>
          <w:spacing w:val="-4"/>
          <w:kern w:val="0"/>
          <w:sz w:val="33"/>
          <w:szCs w:val="33"/>
        </w:rPr>
        <w:t>2.汇集智力资源，服务经济社会高质量发展</w:t>
      </w:r>
    </w:p>
    <w:p>
      <w:pPr>
        <w:pStyle w:val="7"/>
        <w:keepNext w:val="0"/>
        <w:keepLines w:val="0"/>
        <w:pageBreakBefore w:val="0"/>
        <w:widowControl w:val="0"/>
        <w:kinsoku/>
        <w:wordWrap/>
        <w:overflowPunct/>
        <w:topLinePunct w:val="0"/>
        <w:autoSpaceDE/>
        <w:autoSpaceDN/>
        <w:bidi w:val="0"/>
        <w:adjustRightInd/>
        <w:snapToGrid/>
        <w:spacing w:line="600" w:lineRule="exact"/>
        <w:ind w:firstLine="648" w:firstLineChars="208"/>
        <w:jc w:val="left"/>
        <w:textAlignment w:val="auto"/>
        <w:rPr>
          <w:rFonts w:ascii="方正仿宋_GBK" w:hAnsi="方正仿宋_GBK" w:eastAsia="方正仿宋_GBK"/>
          <w:spacing w:val="-4"/>
          <w:kern w:val="0"/>
          <w:sz w:val="32"/>
          <w:szCs w:val="32"/>
        </w:rPr>
      </w:pPr>
      <w:r>
        <w:rPr>
          <w:rFonts w:ascii="方正仿宋_GBK" w:hAnsi="方正仿宋_GBK" w:eastAsia="方正仿宋_GBK"/>
          <w:bCs/>
          <w:spacing w:val="-4"/>
          <w:kern w:val="0"/>
          <w:sz w:val="32"/>
          <w:szCs w:val="32"/>
        </w:rPr>
        <w:t>一是做好优秀科技论文评选。</w:t>
      </w:r>
      <w:r>
        <w:rPr>
          <w:rFonts w:ascii="方正仿宋_GBK" w:hAnsi="方正仿宋_GBK" w:eastAsia="方正仿宋_GBK"/>
          <w:spacing w:val="-4"/>
          <w:kern w:val="0"/>
          <w:sz w:val="32"/>
          <w:szCs w:val="32"/>
        </w:rPr>
        <w:t>组织开展攀枝花市科协系统第十届优秀科技论文评选，共计征集到17个学会、协会科技论文485篇，评出优秀科技论文302篇，其中一等20篇、二等40篇、三等97篇、鼓励145篇。</w:t>
      </w:r>
      <w:r>
        <w:rPr>
          <w:rFonts w:ascii="方正仿宋_GBK" w:hAnsi="方正仿宋_GBK" w:eastAsia="方正仿宋_GBK"/>
          <w:bCs/>
          <w:spacing w:val="-4"/>
          <w:kern w:val="0"/>
          <w:sz w:val="32"/>
          <w:szCs w:val="32"/>
        </w:rPr>
        <w:t>二是深入开展学术交流。</w:t>
      </w:r>
      <w:r>
        <w:rPr>
          <w:rFonts w:ascii="方正仿宋_GBK" w:hAnsi="方正仿宋_GBK" w:eastAsia="方正仿宋_GBK"/>
          <w:spacing w:val="-4"/>
          <w:kern w:val="0"/>
          <w:sz w:val="32"/>
          <w:szCs w:val="32"/>
        </w:rPr>
        <w:t>围绕我市经济、社会、科技发展中的热点、难点问题开展高层次、多学科的学术交流，共组织开展学术交流291次，交流论文467篇，参加人员32226人次；举办学术报告会118场；组织外出参加学术活动1007次，交流论文近342篇；向2021年川渝科技学术大会暨四川科技学术大会推荐优秀论文20篇，提升我市学术知名度。</w:t>
      </w:r>
      <w:r>
        <w:rPr>
          <w:rFonts w:ascii="方正仿宋_GBK" w:hAnsi="方正仿宋_GBK" w:eastAsia="方正仿宋_GBK"/>
          <w:bCs/>
          <w:spacing w:val="-4"/>
          <w:kern w:val="0"/>
          <w:sz w:val="32"/>
          <w:szCs w:val="32"/>
        </w:rPr>
        <w:t>三是规范院士（专家）工作站管理。</w:t>
      </w:r>
      <w:r>
        <w:rPr>
          <w:rFonts w:ascii="方正仿宋_GBK" w:hAnsi="方正仿宋_GBK" w:eastAsia="方正仿宋_GBK"/>
          <w:spacing w:val="-4"/>
          <w:kern w:val="0"/>
          <w:sz w:val="32"/>
          <w:szCs w:val="32"/>
        </w:rPr>
        <w:t>修订完善攀枝花市院士（专家）工作站申报评审办法、考核办法、专项资金管理办法、实施办法，为院士（专家）工作站高质量运行提供制度保障；完成6家市级院士（专家）工作站重新评审确认工作，攀钢集团院士工作站被认定为省级院士工作站。</w:t>
      </w:r>
      <w:r>
        <w:rPr>
          <w:rFonts w:ascii="方正仿宋_GBK" w:hAnsi="方正仿宋_GBK" w:eastAsia="方正仿宋_GBK"/>
          <w:bCs/>
          <w:spacing w:val="-4"/>
          <w:kern w:val="0"/>
          <w:sz w:val="32"/>
          <w:szCs w:val="32"/>
        </w:rPr>
        <w:t>四是助力创新发展。</w:t>
      </w:r>
      <w:r>
        <w:rPr>
          <w:rFonts w:ascii="方正仿宋_GBK" w:hAnsi="方正仿宋_GBK" w:eastAsia="方正仿宋_GBK"/>
          <w:spacing w:val="-4"/>
          <w:kern w:val="0"/>
          <w:sz w:val="32"/>
          <w:szCs w:val="32"/>
        </w:rPr>
        <w:t>组织广大科技工作者深入开展“讲理想、比贡献”竞赛活动，各学会（协会）、企（事）业科协完成“讲、比”项目776项、“厂会协作”54项，技术服务100余项；为企事业发展提出合理化建议45403条，采纳24965项；指导各学会（协会）在企业开展调研，为企业发展提供思路举措。</w:t>
      </w:r>
      <w:r>
        <w:rPr>
          <w:rFonts w:ascii="方正仿宋_GBK" w:hAnsi="方正仿宋_GBK" w:eastAsia="方正仿宋_GBK"/>
          <w:bCs/>
          <w:spacing w:val="-4"/>
          <w:kern w:val="0"/>
          <w:sz w:val="32"/>
          <w:szCs w:val="32"/>
        </w:rPr>
        <w:t>五是务实开展青少年科技教育。</w:t>
      </w:r>
      <w:r>
        <w:rPr>
          <w:rFonts w:ascii="方正仿宋_GBK" w:hAnsi="方正仿宋_GBK" w:eastAsia="方正仿宋_GBK"/>
          <w:spacing w:val="-4"/>
          <w:kern w:val="0"/>
          <w:sz w:val="32"/>
          <w:szCs w:val="32"/>
        </w:rPr>
        <w:t>组织开展第18届四川省青少年机器人竞赛普及组决赛攀枝花分赛区比赛，全市1000名学生参加比赛，获省级一等奖13项、二等奖13项、三等奖11项，最佳创意奖7项、最佳思考奖17项；组织参加第十九届四川省青少年机器人竞赛提高组比赛，获一等奖6项、二等奖4项、三等奖3项；组织举办攀枝花市第36届青少年科技创新大赛，全市50余所中小学校推荐754件作品参加比赛，获省级一等奖4项、二等奖9项、三等奖21项。</w:t>
      </w:r>
    </w:p>
    <w:p>
      <w:pPr>
        <w:pStyle w:val="7"/>
        <w:keepNext w:val="0"/>
        <w:keepLines w:val="0"/>
        <w:pageBreakBefore w:val="0"/>
        <w:widowControl w:val="0"/>
        <w:kinsoku/>
        <w:wordWrap/>
        <w:overflowPunct/>
        <w:topLinePunct w:val="0"/>
        <w:autoSpaceDE/>
        <w:autoSpaceDN/>
        <w:bidi w:val="0"/>
        <w:adjustRightInd/>
        <w:snapToGrid/>
        <w:spacing w:line="600" w:lineRule="exact"/>
        <w:ind w:firstLine="520" w:firstLineChars="161"/>
        <w:jc w:val="left"/>
        <w:textAlignment w:val="auto"/>
        <w:rPr>
          <w:rFonts w:ascii="Times New Roman" w:hAnsi="Times New Roman" w:eastAsia="方正楷体_GBK"/>
          <w:b/>
          <w:spacing w:val="-4"/>
          <w:kern w:val="0"/>
          <w:sz w:val="33"/>
          <w:szCs w:val="33"/>
        </w:rPr>
      </w:pPr>
      <w:r>
        <w:rPr>
          <w:rFonts w:ascii="Times New Roman" w:hAnsi="Times New Roman" w:eastAsia="方正楷体_GBK"/>
          <w:b/>
          <w:spacing w:val="-4"/>
          <w:kern w:val="0"/>
          <w:sz w:val="33"/>
          <w:szCs w:val="33"/>
        </w:rPr>
        <w:t>3.加强科普教育，增强全市人民群众科学素养</w:t>
      </w:r>
    </w:p>
    <w:p>
      <w:pPr>
        <w:pStyle w:val="7"/>
        <w:keepNext w:val="0"/>
        <w:keepLines w:val="0"/>
        <w:pageBreakBefore w:val="0"/>
        <w:widowControl w:val="0"/>
        <w:kinsoku/>
        <w:wordWrap/>
        <w:overflowPunct/>
        <w:topLinePunct w:val="0"/>
        <w:autoSpaceDE/>
        <w:autoSpaceDN/>
        <w:bidi w:val="0"/>
        <w:adjustRightInd/>
        <w:snapToGrid/>
        <w:spacing w:line="600" w:lineRule="exact"/>
        <w:ind w:firstLine="652" w:firstLineChars="209"/>
        <w:jc w:val="left"/>
        <w:textAlignment w:val="auto"/>
        <w:rPr>
          <w:rFonts w:ascii="方正仿宋_GBK" w:hAnsi="方正仿宋_GBK" w:eastAsia="方正仿宋_GBK"/>
          <w:spacing w:val="-4"/>
          <w:kern w:val="0"/>
          <w:sz w:val="32"/>
          <w:szCs w:val="32"/>
        </w:rPr>
      </w:pPr>
      <w:r>
        <w:rPr>
          <w:rFonts w:ascii="方正仿宋_GBK" w:hAnsi="方正仿宋_GBK" w:eastAsia="方正仿宋_GBK"/>
          <w:bCs/>
          <w:spacing w:val="-4"/>
          <w:kern w:val="0"/>
          <w:sz w:val="32"/>
          <w:szCs w:val="32"/>
        </w:rPr>
        <w:t>一是广泛开展群众性科普活动。</w:t>
      </w:r>
      <w:r>
        <w:rPr>
          <w:rFonts w:ascii="方正仿宋_GBK" w:hAnsi="方正仿宋_GBK" w:eastAsia="方正仿宋_GBK"/>
          <w:spacing w:val="-4"/>
          <w:kern w:val="0"/>
          <w:sz w:val="32"/>
          <w:szCs w:val="32"/>
        </w:rPr>
        <w:t>充分利用学会（协会）进行科普，全年累计举办专题科普宣传791次，举办科普展览414次，举办科普讲座289次；完成市科技馆搬迁，搬迁后，展厅面积达420平方米，展品63件（套），瞬时接待能力可达120人，日接待能力可达600人次，4月1日正式对外开放以来，全年接待参观人员达3.8万人次；举办</w:t>
      </w:r>
      <w:r>
        <w:rPr>
          <w:rFonts w:ascii="方正仿宋_GBK" w:hAnsi="方正仿宋_GBK" w:eastAsia="方正仿宋_GBK"/>
          <w:sz w:val="32"/>
          <w:szCs w:val="32"/>
        </w:rPr>
        <w:t>科普大篷车七进活动16次，其中</w:t>
      </w:r>
      <w:r>
        <w:rPr>
          <w:rFonts w:ascii="方正仿宋_GBK" w:hAnsi="方正仿宋_GBK" w:eastAsia="方正仿宋_GBK"/>
          <w:spacing w:val="-4"/>
          <w:kern w:val="0"/>
          <w:sz w:val="32"/>
          <w:szCs w:val="32"/>
        </w:rPr>
        <w:t>科普大篷车进校园科普宣传4次，2600人次师生参与互动体验；联合市科技局等单位举办以“百年回望：中国共产党领导科技发展”为主题的2021年科技活动周活动，牵头举办2021年攀枝花市“全国科普日”活动，联合市第三人民医院开展5场公益性“全国科普日心理健康”科普讲座。</w:t>
      </w:r>
      <w:r>
        <w:rPr>
          <w:rFonts w:ascii="方正仿宋_GBK" w:hAnsi="方正仿宋_GBK" w:eastAsia="方正仿宋_GBK"/>
          <w:bCs/>
          <w:spacing w:val="-4"/>
          <w:kern w:val="0"/>
          <w:sz w:val="32"/>
          <w:szCs w:val="32"/>
        </w:rPr>
        <w:t>二是大力实施《全民科学素质行动计划纲要（2021—2035年）》</w:t>
      </w:r>
      <w:r>
        <w:rPr>
          <w:rFonts w:ascii="方正仿宋_GBK" w:hAnsi="方正仿宋_GBK" w:eastAsia="方正仿宋_GBK"/>
          <w:spacing w:val="-4"/>
          <w:kern w:val="0"/>
          <w:sz w:val="32"/>
          <w:szCs w:val="32"/>
        </w:rPr>
        <w:t>。完成2020年度攀枝花市公民科学素质测评，2020年度我市具备基本科学素质的人口比例由2015年4.4%提升至9.3%，增长4.9个百分点，超“十三五”8%的既定目标1.3个百分点，位居全省前列；制定《2021年度全民科学素质工作考核细则》，组织开展对县（区）和相关市级部门2021年度全民科学素质年度目标绩效考评；完成《攀枝花市“十三五”全民科学素质工作概览》编制工作，全面回顾我市“十三五”《全民科学素质行动计划纲要》实施工作主要做法和取得的成绩。</w:t>
      </w:r>
      <w:r>
        <w:rPr>
          <w:rFonts w:ascii="方正仿宋_GBK" w:hAnsi="方正仿宋_GBK" w:eastAsia="方正仿宋_GBK"/>
          <w:bCs/>
          <w:spacing w:val="-4"/>
          <w:kern w:val="0"/>
          <w:sz w:val="32"/>
          <w:szCs w:val="32"/>
        </w:rPr>
        <w:t>三是积极争取上级支持。</w:t>
      </w:r>
      <w:r>
        <w:rPr>
          <w:rFonts w:ascii="方正仿宋_GBK" w:hAnsi="方正仿宋_GBK" w:eastAsia="方正仿宋_GBK"/>
          <w:spacing w:val="-4"/>
          <w:kern w:val="0"/>
          <w:sz w:val="32"/>
          <w:szCs w:val="32"/>
        </w:rPr>
        <w:t>2021年，市科协共争取中央、省科普专项资金376万元，较2020年度实现翻番。</w:t>
      </w:r>
    </w:p>
    <w:p>
      <w:pPr>
        <w:pStyle w:val="7"/>
        <w:spacing w:line="580" w:lineRule="exact"/>
        <w:ind w:firstLine="520" w:firstLineChars="161"/>
        <w:jc w:val="left"/>
        <w:rPr>
          <w:rFonts w:ascii="Times New Roman" w:hAnsi="Times New Roman" w:eastAsia="方正楷体_GBK"/>
          <w:b/>
          <w:spacing w:val="-4"/>
          <w:kern w:val="0"/>
          <w:sz w:val="33"/>
          <w:szCs w:val="33"/>
        </w:rPr>
      </w:pPr>
      <w:r>
        <w:rPr>
          <w:rFonts w:ascii="Times New Roman" w:hAnsi="Times New Roman" w:eastAsia="方正楷体_GBK"/>
          <w:b/>
          <w:spacing w:val="-4"/>
          <w:kern w:val="0"/>
          <w:sz w:val="33"/>
          <w:szCs w:val="33"/>
        </w:rPr>
        <w:t>4.履行保姆职责，联系服务广大科技工作者</w:t>
      </w:r>
    </w:p>
    <w:p>
      <w:pPr>
        <w:pStyle w:val="7"/>
        <w:spacing w:line="580" w:lineRule="exact"/>
        <w:ind w:firstLine="652" w:firstLineChars="209"/>
        <w:jc w:val="left"/>
        <w:rPr>
          <w:rFonts w:ascii="方正仿宋_GBK" w:hAnsi="方正仿宋_GBK" w:eastAsia="方正仿宋_GBK"/>
          <w:spacing w:val="-4"/>
          <w:kern w:val="0"/>
          <w:sz w:val="32"/>
          <w:szCs w:val="32"/>
        </w:rPr>
      </w:pPr>
      <w:r>
        <w:rPr>
          <w:rFonts w:ascii="方正仿宋_GBK" w:hAnsi="方正仿宋_GBK" w:eastAsia="方正仿宋_GBK"/>
          <w:bCs/>
          <w:spacing w:val="-4"/>
          <w:kern w:val="0"/>
          <w:sz w:val="32"/>
          <w:szCs w:val="32"/>
        </w:rPr>
        <w:t>一是组织召开攀枝花“全国科技工作者日”大会。</w:t>
      </w:r>
      <w:r>
        <w:rPr>
          <w:rFonts w:ascii="方正仿宋_GBK" w:hAnsi="方正仿宋_GBK" w:eastAsia="方正仿宋_GBK"/>
          <w:spacing w:val="-4"/>
          <w:kern w:val="0"/>
          <w:sz w:val="32"/>
          <w:szCs w:val="32"/>
        </w:rPr>
        <w:t>以“学党史、聚人才、兴未来”为主题，召集市直相关部门、县区、企事业单位代表、优秀科技工作者、市级学会（协会）、企事业科协代表等120余人参加大会，学习先进事迹，弘扬创新精神，在广大科技工作者中形成热烈反响。</w:t>
      </w:r>
      <w:r>
        <w:rPr>
          <w:rFonts w:ascii="方正仿宋_GBK" w:hAnsi="方正仿宋_GBK" w:eastAsia="方正仿宋_GBK"/>
          <w:bCs/>
          <w:spacing w:val="-4"/>
          <w:kern w:val="0"/>
          <w:sz w:val="32"/>
          <w:szCs w:val="32"/>
        </w:rPr>
        <w:t>二是加强人才举荐。</w:t>
      </w:r>
      <w:r>
        <w:rPr>
          <w:rFonts w:ascii="方正仿宋_GBK" w:hAnsi="方正仿宋_GBK" w:eastAsia="方正仿宋_GBK"/>
          <w:spacing w:val="-4"/>
          <w:kern w:val="0"/>
          <w:sz w:val="32"/>
          <w:szCs w:val="32"/>
        </w:rPr>
        <w:t>分别推荐13名和3名优秀科技工作者参加“四川百年百杰科学家”和四川省2021年“最美科技工作者”评选，常隆庆入选“四川百年百杰科学家”，邹明当选“最美科技工作者”；推选2名科技工作者代表和科协工作者代表参加中国科协第十次全国代表大会，韩振宇当选中国科协第十届全国委员会委员。</w:t>
      </w:r>
      <w:r>
        <w:rPr>
          <w:rFonts w:ascii="方正仿宋_GBK" w:hAnsi="方正仿宋_GBK" w:eastAsia="方正仿宋_GBK"/>
          <w:bCs/>
          <w:spacing w:val="-4"/>
          <w:kern w:val="0"/>
          <w:sz w:val="32"/>
          <w:szCs w:val="32"/>
        </w:rPr>
        <w:t>三是关心关爱科技工作者。</w:t>
      </w:r>
      <w:r>
        <w:rPr>
          <w:rFonts w:ascii="方正仿宋_GBK" w:hAnsi="方正仿宋_GBK" w:eastAsia="方正仿宋_GBK"/>
          <w:spacing w:val="-4"/>
          <w:kern w:val="0"/>
          <w:sz w:val="32"/>
          <w:szCs w:val="32"/>
        </w:rPr>
        <w:t>2021年春节走访慰问10名科技工作者代表，了解科技工作者所需所盼，协助解决实际困难问题；“七一”前夕，走访慰问15名老党员、老干部、困难党员、优秀党员科技工作者代表，送去党的温暖和关怀。</w:t>
      </w:r>
      <w:r>
        <w:rPr>
          <w:rFonts w:ascii="方正仿宋_GBK" w:hAnsi="方正仿宋_GBK" w:eastAsia="方正仿宋_GBK"/>
          <w:bCs/>
          <w:spacing w:val="-4"/>
          <w:kern w:val="0"/>
          <w:sz w:val="32"/>
          <w:szCs w:val="32"/>
        </w:rPr>
        <w:t>四是加强学会（协会）组织建设。</w:t>
      </w:r>
      <w:r>
        <w:rPr>
          <w:rFonts w:ascii="方正仿宋_GBK" w:hAnsi="方正仿宋_GBK" w:eastAsia="方正仿宋_GBK"/>
          <w:spacing w:val="-4"/>
          <w:kern w:val="0"/>
          <w:sz w:val="32"/>
          <w:szCs w:val="32"/>
        </w:rPr>
        <w:t>按照相关要求，组织所属学会（协会）全面开展自查自纠，进一步规范学会（协会）内部治理结构，督促学会（协会）修改完善章程，强化对学会（协会）的政治引领；完成对科协下属学会的年度检查工作；完成</w:t>
      </w:r>
      <w:r>
        <w:rPr>
          <w:rFonts w:ascii="方正仿宋_GBK" w:hAnsi="方正仿宋_GBK" w:eastAsia="方正仿宋_GBK"/>
          <w:spacing w:val="-4"/>
          <w:sz w:val="32"/>
          <w:szCs w:val="32"/>
        </w:rPr>
        <w:t>所属学会（协会）、企事业科协补助；</w:t>
      </w:r>
      <w:r>
        <w:rPr>
          <w:rFonts w:ascii="方正仿宋_GBK" w:hAnsi="方正仿宋_GBK" w:eastAsia="方正仿宋_GBK"/>
          <w:spacing w:val="-4"/>
          <w:kern w:val="0"/>
          <w:sz w:val="32"/>
          <w:szCs w:val="32"/>
        </w:rPr>
        <w:t>指导市老科协、预防医学会、建筑学会完成换届改选工作，联合市委老干局等部门，全力推动县（区）老科协组织建设。</w:t>
      </w:r>
      <w:r>
        <w:rPr>
          <w:rFonts w:ascii="方正仿宋_GBK" w:hAnsi="方正仿宋_GBK" w:eastAsia="方正仿宋_GBK"/>
          <w:bCs/>
          <w:spacing w:val="-4"/>
          <w:kern w:val="0"/>
          <w:sz w:val="32"/>
          <w:szCs w:val="32"/>
        </w:rPr>
        <w:t>五是积极开展学会（协会）调研。</w:t>
      </w:r>
      <w:r>
        <w:rPr>
          <w:rFonts w:ascii="方正仿宋_GBK" w:hAnsi="方正仿宋_GBK" w:eastAsia="方正仿宋_GBK"/>
          <w:spacing w:val="-4"/>
          <w:kern w:val="0"/>
          <w:sz w:val="32"/>
          <w:szCs w:val="32"/>
        </w:rPr>
        <w:t>向科技工作者发放调查问卷150余份，深入学会（协会）、企事业科协开展座谈交流3次，形成《加强新形势下我市学会（协会）建设的思考》。</w:t>
      </w:r>
    </w:p>
    <w:p>
      <w:pPr>
        <w:pStyle w:val="7"/>
        <w:keepNext w:val="0"/>
        <w:keepLines w:val="0"/>
        <w:pageBreakBefore w:val="0"/>
        <w:widowControl w:val="0"/>
        <w:kinsoku/>
        <w:wordWrap/>
        <w:overflowPunct/>
        <w:topLinePunct w:val="0"/>
        <w:autoSpaceDE/>
        <w:autoSpaceDN/>
        <w:bidi w:val="0"/>
        <w:adjustRightInd/>
        <w:snapToGrid/>
        <w:spacing w:line="600" w:lineRule="exact"/>
        <w:ind w:firstLine="520" w:firstLineChars="161"/>
        <w:jc w:val="left"/>
        <w:textAlignment w:val="auto"/>
        <w:rPr>
          <w:rFonts w:ascii="Times New Roman" w:hAnsi="Times New Roman" w:eastAsia="方正楷体_GBK"/>
          <w:b/>
          <w:spacing w:val="-4"/>
          <w:kern w:val="0"/>
          <w:sz w:val="33"/>
          <w:szCs w:val="33"/>
        </w:rPr>
      </w:pPr>
      <w:r>
        <w:rPr>
          <w:rFonts w:ascii="Times New Roman" w:hAnsi="Times New Roman" w:eastAsia="方正楷体_GBK"/>
          <w:b/>
          <w:spacing w:val="-4"/>
          <w:kern w:val="0"/>
          <w:sz w:val="33"/>
          <w:szCs w:val="33"/>
        </w:rPr>
        <w:t>5.实施科技帮扶，服务乡村振兴战略实施</w:t>
      </w:r>
    </w:p>
    <w:p>
      <w:pPr>
        <w:pStyle w:val="7"/>
        <w:keepNext w:val="0"/>
        <w:keepLines w:val="0"/>
        <w:pageBreakBefore w:val="0"/>
        <w:widowControl w:val="0"/>
        <w:kinsoku/>
        <w:wordWrap/>
        <w:overflowPunct/>
        <w:topLinePunct w:val="0"/>
        <w:autoSpaceDE/>
        <w:autoSpaceDN/>
        <w:bidi w:val="0"/>
        <w:adjustRightInd/>
        <w:snapToGrid/>
        <w:spacing w:line="600" w:lineRule="exact"/>
        <w:ind w:firstLine="652" w:firstLineChars="209"/>
        <w:jc w:val="left"/>
        <w:textAlignment w:val="auto"/>
        <w:rPr>
          <w:rFonts w:ascii="方正仿宋_GBK" w:hAnsi="方正仿宋_GBK" w:eastAsia="方正仿宋_GBK"/>
          <w:spacing w:val="-4"/>
          <w:kern w:val="0"/>
          <w:sz w:val="32"/>
          <w:szCs w:val="32"/>
        </w:rPr>
      </w:pPr>
      <w:r>
        <w:rPr>
          <w:rFonts w:ascii="方正仿宋_GBK" w:hAnsi="方正仿宋_GBK" w:eastAsia="方正仿宋_GBK"/>
          <w:bCs/>
          <w:spacing w:val="-4"/>
          <w:kern w:val="0"/>
          <w:sz w:val="32"/>
          <w:szCs w:val="32"/>
        </w:rPr>
        <w:t>一是举办乡土人才创新创业大赛。</w:t>
      </w:r>
      <w:r>
        <w:rPr>
          <w:rFonts w:ascii="方正仿宋_GBK" w:hAnsi="方正仿宋_GBK" w:eastAsia="方正仿宋_GBK"/>
          <w:spacing w:val="-4"/>
          <w:kern w:val="0"/>
          <w:sz w:val="32"/>
          <w:szCs w:val="32"/>
        </w:rPr>
        <w:t>成功举办攀枝花市第五届农村乡土人才创新创业大赛，推荐3名选手参加省级大赛，1人获金奖、最佳人气奖、巴山牧业创新奖，1人获铜奖和最受欢迎成果奖，1人获乡村振兴贡献奖。</w:t>
      </w:r>
      <w:r>
        <w:rPr>
          <w:rFonts w:ascii="方正仿宋_GBK" w:hAnsi="方正仿宋_GBK" w:eastAsia="方正仿宋_GBK"/>
          <w:bCs/>
          <w:spacing w:val="-4"/>
          <w:kern w:val="0"/>
          <w:sz w:val="32"/>
          <w:szCs w:val="32"/>
        </w:rPr>
        <w:t>二是开展乡村振兴调研。</w:t>
      </w:r>
      <w:r>
        <w:rPr>
          <w:rFonts w:ascii="方正仿宋_GBK" w:hAnsi="方正仿宋_GBK" w:eastAsia="方正仿宋_GBK"/>
          <w:spacing w:val="-4"/>
          <w:kern w:val="0"/>
          <w:sz w:val="32"/>
          <w:szCs w:val="32"/>
        </w:rPr>
        <w:t>调研盐边县惠民乡银河村乡村振兴情况，出资3.5万元，</w:t>
      </w:r>
      <w:r>
        <w:rPr>
          <w:rFonts w:hint="eastAsia" w:ascii="方正仿宋_GBK" w:hAnsi="方正仿宋_GBK" w:eastAsia="方正仿宋_GBK"/>
          <w:spacing w:val="-4"/>
          <w:kern w:val="0"/>
          <w:sz w:val="32"/>
          <w:szCs w:val="32"/>
        </w:rPr>
        <w:t>组织</w:t>
      </w:r>
      <w:r>
        <w:rPr>
          <w:rFonts w:ascii="方正仿宋_GBK" w:hAnsi="方正仿宋_GBK" w:eastAsia="方正仿宋_GBK"/>
          <w:spacing w:val="-4"/>
          <w:kern w:val="0"/>
          <w:sz w:val="32"/>
          <w:szCs w:val="32"/>
        </w:rPr>
        <w:t>编制《攀枝花市盐边县惠民乡银河村村集体产业发展规划》。</w:t>
      </w:r>
      <w:r>
        <w:rPr>
          <w:rFonts w:ascii="方正仿宋_GBK" w:hAnsi="方正仿宋_GBK" w:eastAsia="方正仿宋_GBK"/>
          <w:bCs/>
          <w:spacing w:val="-4"/>
          <w:kern w:val="0"/>
          <w:sz w:val="32"/>
          <w:szCs w:val="32"/>
        </w:rPr>
        <w:t>三是深入实施科技帮扶。</w:t>
      </w:r>
      <w:r>
        <w:rPr>
          <w:rFonts w:ascii="方正仿宋_GBK" w:hAnsi="方正仿宋_GBK" w:eastAsia="方正仿宋_GBK"/>
          <w:spacing w:val="-4"/>
          <w:kern w:val="0"/>
          <w:sz w:val="32"/>
          <w:szCs w:val="32"/>
        </w:rPr>
        <w:t>全年共组织各类专家6735人（次）深入贫困乡村开展扶贫活动287次。市农林院科协建立专家视频群，方便更多部门在扶贫工作中为农民提供技术服务，让专家的作用发挥到最大化；市老科协送科技下乡，为芒果种植、猕猴桃产业基地建设把脉支招；市林学会组织营林、果树、森保等专家组，深入贫困山区“传经送宝”，把最实用的林业技术送到群众手中；市烟草学会组织会员深入一区两县试点建立循环经营产业链，促进烟农增收。</w:t>
      </w:r>
    </w:p>
    <w:p>
      <w:pPr>
        <w:pStyle w:val="7"/>
        <w:keepNext w:val="0"/>
        <w:keepLines w:val="0"/>
        <w:pageBreakBefore w:val="0"/>
        <w:widowControl w:val="0"/>
        <w:kinsoku/>
        <w:wordWrap/>
        <w:overflowPunct/>
        <w:topLinePunct w:val="0"/>
        <w:autoSpaceDE/>
        <w:autoSpaceDN/>
        <w:bidi w:val="0"/>
        <w:adjustRightInd/>
        <w:snapToGrid/>
        <w:spacing w:line="600" w:lineRule="exact"/>
        <w:ind w:firstLine="520" w:firstLineChars="161"/>
        <w:jc w:val="left"/>
        <w:textAlignment w:val="auto"/>
        <w:rPr>
          <w:rFonts w:ascii="Times New Roman" w:hAnsi="Times New Roman" w:eastAsia="方正楷体_GBK"/>
          <w:b/>
          <w:spacing w:val="-4"/>
          <w:kern w:val="0"/>
          <w:sz w:val="33"/>
          <w:szCs w:val="33"/>
        </w:rPr>
      </w:pPr>
      <w:r>
        <w:rPr>
          <w:rFonts w:ascii="Times New Roman" w:hAnsi="Times New Roman" w:eastAsia="方正楷体_GBK"/>
          <w:b/>
          <w:spacing w:val="-4"/>
          <w:kern w:val="0"/>
          <w:sz w:val="33"/>
          <w:szCs w:val="33"/>
        </w:rPr>
        <w:t>6.积极主动作为，推进市委战略部署有效实施</w:t>
      </w:r>
    </w:p>
    <w:p>
      <w:pPr>
        <w:pStyle w:val="7"/>
        <w:keepNext w:val="0"/>
        <w:keepLines w:val="0"/>
        <w:pageBreakBefore w:val="0"/>
        <w:widowControl w:val="0"/>
        <w:kinsoku/>
        <w:wordWrap/>
        <w:overflowPunct/>
        <w:topLinePunct w:val="0"/>
        <w:autoSpaceDE/>
        <w:autoSpaceDN/>
        <w:bidi w:val="0"/>
        <w:adjustRightInd/>
        <w:snapToGrid/>
        <w:spacing w:line="600" w:lineRule="exact"/>
        <w:ind w:firstLine="624" w:firstLineChars="200"/>
        <w:jc w:val="left"/>
        <w:textAlignment w:val="auto"/>
        <w:rPr>
          <w:rFonts w:ascii="方正仿宋_GBK" w:hAnsi="方正仿宋_GBK" w:eastAsia="方正仿宋_GBK"/>
          <w:spacing w:val="-4"/>
          <w:kern w:val="0"/>
          <w:sz w:val="32"/>
          <w:szCs w:val="32"/>
        </w:rPr>
      </w:pPr>
      <w:r>
        <w:rPr>
          <w:rFonts w:ascii="方正仿宋_GBK" w:hAnsi="方正仿宋_GBK" w:eastAsia="方正仿宋_GBK"/>
          <w:bCs/>
          <w:spacing w:val="-4"/>
          <w:kern w:val="0"/>
          <w:sz w:val="32"/>
          <w:szCs w:val="32"/>
        </w:rPr>
        <w:t>一是为打造区域中心城市出力。</w:t>
      </w:r>
      <w:r>
        <w:rPr>
          <w:rFonts w:ascii="方正仿宋_GBK" w:hAnsi="方正仿宋_GBK" w:eastAsia="方正仿宋_GBK"/>
          <w:spacing w:val="-4"/>
          <w:kern w:val="0"/>
          <w:sz w:val="32"/>
          <w:szCs w:val="32"/>
        </w:rPr>
        <w:t>围绕加快建设现代化区域中心城市的目标，深入省科协、成都市科协、绵阳市科协、德阳市科协等市（州）科协学习调研，形成《关于创建“科创中国”试点城市的请示》和《攀枝花钒钛科技馆建设初步思路》。</w:t>
      </w:r>
      <w:r>
        <w:rPr>
          <w:rFonts w:ascii="方正仿宋_GBK" w:hAnsi="方正仿宋_GBK" w:eastAsia="方正仿宋_GBK"/>
          <w:bCs/>
          <w:spacing w:val="-4"/>
          <w:kern w:val="0"/>
          <w:sz w:val="32"/>
          <w:szCs w:val="32"/>
        </w:rPr>
        <w:t>二是做好“外圈”联系工作。</w:t>
      </w:r>
      <w:r>
        <w:rPr>
          <w:rFonts w:ascii="方正仿宋_GBK" w:hAnsi="方正仿宋_GBK" w:eastAsia="方正仿宋_GBK"/>
          <w:spacing w:val="-4"/>
          <w:kern w:val="0"/>
          <w:sz w:val="32"/>
          <w:szCs w:val="32"/>
        </w:rPr>
        <w:t>主动与成都、绵阳、德阳等市州沟通联系，共同探讨城市建设发展方向，借鉴成果经验，共谋协同发展；与成都市科协</w:t>
      </w:r>
      <w:r>
        <w:rPr>
          <w:rFonts w:hint="eastAsia" w:ascii="方正仿宋_GBK" w:hAnsi="方正仿宋_GBK" w:eastAsia="方正仿宋_GBK"/>
          <w:spacing w:val="-4"/>
          <w:kern w:val="0"/>
          <w:sz w:val="32"/>
          <w:szCs w:val="32"/>
        </w:rPr>
        <w:t>签订</w:t>
      </w:r>
      <w:r>
        <w:rPr>
          <w:rFonts w:ascii="方正仿宋_GBK" w:hAnsi="方正仿宋_GBK" w:eastAsia="方正仿宋_GBK"/>
          <w:spacing w:val="-4"/>
          <w:kern w:val="0"/>
          <w:sz w:val="32"/>
          <w:szCs w:val="32"/>
        </w:rPr>
        <w:t>战略合作协议，为后续合作奠定基础。</w:t>
      </w:r>
      <w:r>
        <w:rPr>
          <w:rFonts w:ascii="方正仿宋_GBK" w:hAnsi="方正仿宋_GBK" w:eastAsia="方正仿宋_GBK"/>
          <w:bCs/>
          <w:spacing w:val="-4"/>
          <w:kern w:val="0"/>
          <w:sz w:val="32"/>
          <w:szCs w:val="32"/>
        </w:rPr>
        <w:t>三是增强“内圈”发展实力</w:t>
      </w:r>
      <w:r>
        <w:rPr>
          <w:rFonts w:ascii="方正仿宋_GBK" w:hAnsi="方正仿宋_GBK" w:eastAsia="方正仿宋_GBK"/>
          <w:spacing w:val="-4"/>
          <w:kern w:val="0"/>
          <w:sz w:val="32"/>
          <w:szCs w:val="32"/>
        </w:rPr>
        <w:t>。切实为人民群众服务，组织全体干部职工分5批次到市科技馆，为1500余名到馆参观群众提供科普知识讲解、文明礼貌引导志愿服务；依托“天府科技云”平台，促进科技成果有效转化61个；大力做好科普宣传活动，提升人民群众科学素养；指导市老科协认真筹备云贵川渝“三省一市”老科协第三届“金沙江论坛”，进一步夯实“内圈”发展软实力。</w:t>
      </w:r>
    </w:p>
    <w:p>
      <w:pPr>
        <w:pStyle w:val="7"/>
        <w:keepNext w:val="0"/>
        <w:keepLines w:val="0"/>
        <w:pageBreakBefore w:val="0"/>
        <w:widowControl w:val="0"/>
        <w:kinsoku/>
        <w:wordWrap/>
        <w:overflowPunct/>
        <w:topLinePunct w:val="0"/>
        <w:autoSpaceDE/>
        <w:autoSpaceDN/>
        <w:bidi w:val="0"/>
        <w:adjustRightInd/>
        <w:snapToGrid/>
        <w:spacing w:line="600" w:lineRule="exact"/>
        <w:ind w:firstLine="647" w:firstLineChars="200"/>
        <w:textAlignment w:val="auto"/>
        <w:rPr>
          <w:rFonts w:ascii="Times New Roman" w:hAnsi="Times New Roman" w:eastAsia="方正仿宋_GBK"/>
          <w:sz w:val="32"/>
          <w:szCs w:val="32"/>
        </w:rPr>
      </w:pPr>
      <w:r>
        <w:rPr>
          <w:rFonts w:ascii="Times New Roman" w:hAnsi="Times New Roman" w:eastAsia="方正楷体_GBK"/>
          <w:b/>
          <w:spacing w:val="-4"/>
          <w:kern w:val="0"/>
          <w:sz w:val="33"/>
          <w:szCs w:val="33"/>
        </w:rPr>
        <w:t>（二）满意度指标完成情况分析。</w:t>
      </w:r>
      <w:r>
        <w:rPr>
          <w:rFonts w:ascii="Times New Roman" w:hAnsi="Times New Roman" w:eastAsia="方正仿宋_GBK"/>
          <w:sz w:val="32"/>
          <w:szCs w:val="32"/>
        </w:rPr>
        <w:t>市主管部门、服务对象和群众达到基本满意及以上。</w:t>
      </w:r>
    </w:p>
    <w:p>
      <w:pPr>
        <w:pStyle w:val="7"/>
        <w:keepNext w:val="0"/>
        <w:keepLines w:val="0"/>
        <w:pageBreakBefore w:val="0"/>
        <w:widowControl w:val="0"/>
        <w:kinsoku/>
        <w:wordWrap/>
        <w:overflowPunct/>
        <w:topLinePunct w:val="0"/>
        <w:autoSpaceDE/>
        <w:autoSpaceDN/>
        <w:bidi w:val="0"/>
        <w:adjustRightInd/>
        <w:snapToGrid/>
        <w:spacing w:before="93" w:line="600" w:lineRule="exact"/>
        <w:ind w:firstLine="644" w:firstLineChars="200"/>
        <w:textAlignment w:val="auto"/>
        <w:rPr>
          <w:rFonts w:ascii="Times New Roman" w:hAnsi="Times New Roman" w:eastAsia="方正黑体_GBK"/>
          <w:spacing w:val="-4"/>
          <w:kern w:val="0"/>
          <w:sz w:val="33"/>
          <w:szCs w:val="33"/>
        </w:rPr>
      </w:pPr>
      <w:r>
        <w:rPr>
          <w:rFonts w:ascii="Times New Roman" w:hAnsi="Times New Roman" w:eastAsia="方正黑体_GBK"/>
          <w:spacing w:val="-4"/>
          <w:kern w:val="0"/>
          <w:sz w:val="33"/>
          <w:szCs w:val="33"/>
        </w:rPr>
        <w:t>五、评价结论及建议</w:t>
      </w:r>
    </w:p>
    <w:p>
      <w:pPr>
        <w:pStyle w:val="7"/>
        <w:keepNext w:val="0"/>
        <w:keepLines w:val="0"/>
        <w:pageBreakBefore w:val="0"/>
        <w:widowControl w:val="0"/>
        <w:kinsoku/>
        <w:wordWrap/>
        <w:overflowPunct/>
        <w:topLinePunct w:val="0"/>
        <w:autoSpaceDE/>
        <w:autoSpaceDN/>
        <w:bidi w:val="0"/>
        <w:adjustRightInd/>
        <w:snapToGrid/>
        <w:spacing w:line="600" w:lineRule="exact"/>
        <w:ind w:firstLine="647" w:firstLineChars="200"/>
        <w:jc w:val="left"/>
        <w:textAlignment w:val="auto"/>
        <w:rPr>
          <w:rFonts w:ascii="方正仿宋_GBK" w:hAnsi="方正仿宋_GBK" w:eastAsia="方正仿宋_GBK"/>
          <w:sz w:val="32"/>
          <w:szCs w:val="32"/>
        </w:rPr>
      </w:pPr>
      <w:r>
        <w:rPr>
          <w:rFonts w:ascii="Times New Roman" w:hAnsi="Times New Roman" w:eastAsia="方正楷体_GBK"/>
          <w:b/>
          <w:spacing w:val="-4"/>
          <w:kern w:val="0"/>
          <w:sz w:val="33"/>
          <w:szCs w:val="33"/>
        </w:rPr>
        <w:t>（一）评价结论</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spacing w:val="-4"/>
          <w:sz w:val="32"/>
          <w:szCs w:val="32"/>
        </w:rPr>
      </w:pPr>
      <w:r>
        <w:rPr>
          <w:rFonts w:ascii="方正仿宋_GBK" w:hAnsi="方正仿宋_GBK" w:eastAsia="方正仿宋_GBK"/>
          <w:sz w:val="32"/>
          <w:szCs w:val="32"/>
        </w:rPr>
        <w:t>总的来说，市科协2021年度科普活动项目绩效评价良好，在财政库款紧张的情况下基本完成了年初既定的目标任务，中心工作取得优异成绩，总体项目绩效目标得以实现。</w:t>
      </w:r>
      <w:r>
        <w:rPr>
          <w:rFonts w:ascii="方正仿宋_GBK" w:hAnsi="方正仿宋_GBK" w:eastAsia="方正仿宋_GBK"/>
          <w:spacing w:val="-4"/>
          <w:kern w:val="0"/>
          <w:sz w:val="32"/>
          <w:szCs w:val="32"/>
        </w:rPr>
        <w:t>市科协能够坚持按照《预算法》和十九大关于“全面实施绩效管理”的精神，提升绩效预算管理意识，落实工作责任，逐步形成了较为规范的工作流程，绩效预算管理水平进一步提高。</w:t>
      </w:r>
    </w:p>
    <w:p>
      <w:pPr>
        <w:pStyle w:val="7"/>
        <w:keepNext w:val="0"/>
        <w:keepLines w:val="0"/>
        <w:pageBreakBefore w:val="0"/>
        <w:widowControl w:val="0"/>
        <w:kinsoku/>
        <w:wordWrap/>
        <w:overflowPunct/>
        <w:topLinePunct w:val="0"/>
        <w:autoSpaceDE/>
        <w:autoSpaceDN/>
        <w:bidi w:val="0"/>
        <w:adjustRightInd/>
        <w:snapToGrid/>
        <w:spacing w:line="600" w:lineRule="exact"/>
        <w:ind w:firstLine="647" w:firstLineChars="200"/>
        <w:jc w:val="left"/>
        <w:textAlignment w:val="auto"/>
        <w:rPr>
          <w:rFonts w:ascii="Times New Roman" w:hAnsi="Times New Roman" w:eastAsia="方正楷体_GBK"/>
          <w:b/>
          <w:spacing w:val="-4"/>
          <w:kern w:val="0"/>
          <w:sz w:val="33"/>
          <w:szCs w:val="33"/>
        </w:rPr>
      </w:pPr>
      <w:r>
        <w:rPr>
          <w:rFonts w:ascii="Times New Roman" w:hAnsi="Times New Roman" w:eastAsia="方正楷体_GBK"/>
          <w:b/>
          <w:spacing w:val="-4"/>
          <w:kern w:val="0"/>
          <w:sz w:val="33"/>
          <w:szCs w:val="33"/>
        </w:rPr>
        <w:t>（二）存在的问题和改进措施</w:t>
      </w:r>
    </w:p>
    <w:p>
      <w:pPr>
        <w:pStyle w:val="7"/>
        <w:keepNext w:val="0"/>
        <w:keepLines w:val="0"/>
        <w:pageBreakBefore w:val="0"/>
        <w:widowControl w:val="0"/>
        <w:kinsoku/>
        <w:wordWrap/>
        <w:overflowPunct/>
        <w:topLinePunct w:val="0"/>
        <w:autoSpaceDE/>
        <w:autoSpaceDN/>
        <w:bidi w:val="0"/>
        <w:adjustRightInd/>
        <w:snapToGrid/>
        <w:spacing w:line="600" w:lineRule="exact"/>
        <w:ind w:firstLine="624" w:firstLineChars="200"/>
        <w:jc w:val="left"/>
        <w:textAlignment w:val="auto"/>
        <w:rPr>
          <w:rFonts w:ascii="方正仿宋_GBK" w:hAnsi="方正仿宋_GBK" w:eastAsia="方正仿宋_GBK"/>
          <w:spacing w:val="-4"/>
          <w:sz w:val="32"/>
          <w:szCs w:val="32"/>
        </w:rPr>
      </w:pPr>
      <w:r>
        <w:rPr>
          <w:rFonts w:ascii="方正仿宋_GBK" w:hAnsi="方正仿宋_GBK" w:eastAsia="方正仿宋_GBK"/>
          <w:spacing w:val="-4"/>
          <w:kern w:val="0"/>
          <w:sz w:val="32"/>
          <w:szCs w:val="32"/>
        </w:rPr>
        <w:t>一是内控建设力量需要加强，内控体系和长效机制还不够完善，规章制度执行程序还不够细化；二是存在</w:t>
      </w:r>
      <w:r>
        <w:rPr>
          <w:rFonts w:ascii="方正仿宋_GBK" w:hAnsi="方正仿宋_GBK" w:eastAsia="方正仿宋_GBK"/>
          <w:spacing w:val="-4"/>
          <w:sz w:val="32"/>
          <w:szCs w:val="32"/>
        </w:rPr>
        <w:t>全年</w:t>
      </w:r>
      <w:r>
        <w:rPr>
          <w:rFonts w:ascii="方正仿宋_GBK" w:hAnsi="方正仿宋_GBK" w:eastAsia="方正仿宋_GBK"/>
          <w:spacing w:val="-4"/>
          <w:kern w:val="0"/>
          <w:sz w:val="32"/>
          <w:szCs w:val="32"/>
        </w:rPr>
        <w:t>支出进度不均衡，部门预算执行意识不够强、</w:t>
      </w:r>
      <w:r>
        <w:rPr>
          <w:rFonts w:ascii="方正仿宋_GBK" w:hAnsi="方正仿宋_GBK" w:eastAsia="方正仿宋_GBK"/>
          <w:spacing w:val="-4"/>
          <w:sz w:val="32"/>
          <w:szCs w:val="32"/>
        </w:rPr>
        <w:t>预算目标制定还不够精准的问题。</w:t>
      </w:r>
    </w:p>
    <w:p>
      <w:pPr>
        <w:pStyle w:val="7"/>
        <w:keepNext w:val="0"/>
        <w:keepLines w:val="0"/>
        <w:pageBreakBefore w:val="0"/>
        <w:widowControl w:val="0"/>
        <w:kinsoku/>
        <w:wordWrap/>
        <w:overflowPunct/>
        <w:topLinePunct w:val="0"/>
        <w:autoSpaceDE/>
        <w:autoSpaceDN/>
        <w:bidi w:val="0"/>
        <w:adjustRightInd/>
        <w:snapToGrid/>
        <w:spacing w:line="600" w:lineRule="exact"/>
        <w:ind w:firstLine="647" w:firstLineChars="200"/>
        <w:jc w:val="left"/>
        <w:textAlignment w:val="auto"/>
        <w:rPr>
          <w:rFonts w:ascii="Times New Roman" w:hAnsi="Times New Roman" w:eastAsia="方正楷体_GBK"/>
          <w:b/>
          <w:spacing w:val="-4"/>
          <w:kern w:val="0"/>
          <w:sz w:val="33"/>
          <w:szCs w:val="33"/>
        </w:rPr>
      </w:pPr>
      <w:r>
        <w:rPr>
          <w:rFonts w:ascii="Times New Roman" w:hAnsi="Times New Roman" w:eastAsia="方正楷体_GBK"/>
          <w:b/>
          <w:spacing w:val="-4"/>
          <w:kern w:val="0"/>
          <w:sz w:val="33"/>
          <w:szCs w:val="33"/>
        </w:rPr>
        <w:t>（三）相关建议</w:t>
      </w:r>
    </w:p>
    <w:p>
      <w:pPr>
        <w:pStyle w:val="7"/>
        <w:keepNext w:val="0"/>
        <w:keepLines w:val="0"/>
        <w:pageBreakBefore w:val="0"/>
        <w:widowControl w:val="0"/>
        <w:kinsoku/>
        <w:wordWrap/>
        <w:overflowPunct/>
        <w:topLinePunct w:val="0"/>
        <w:autoSpaceDE/>
        <w:autoSpaceDN/>
        <w:bidi w:val="0"/>
        <w:adjustRightInd/>
        <w:snapToGrid/>
        <w:spacing w:line="600" w:lineRule="exact"/>
        <w:ind w:firstLine="624" w:firstLineChars="200"/>
        <w:jc w:val="left"/>
        <w:textAlignment w:val="auto"/>
        <w:rPr>
          <w:rFonts w:ascii="Times New Roman" w:hAnsi="Times New Roman" w:eastAsia="方正仿宋_GBK"/>
          <w:spacing w:val="-4"/>
          <w:sz w:val="32"/>
          <w:szCs w:val="32"/>
        </w:rPr>
      </w:pPr>
      <w:r>
        <w:rPr>
          <w:rFonts w:ascii="Times New Roman" w:hAnsi="Times New Roman" w:eastAsia="方正仿宋_GBK"/>
          <w:spacing w:val="-4"/>
          <w:sz w:val="32"/>
          <w:szCs w:val="32"/>
        </w:rPr>
        <w:t>市科协将继续认真贯彻落实《政府会计制度》，紧紧围绕我市工作重点，按照科协既定工作思路和预算项目绩效目标抓好进度监控和预算执行，进一步做实做细预决算工作和内控管理，强化目标绩效内部考核，完善绩效评价和监督机制，不断提高财务管理能力和水平。</w:t>
      </w:r>
    </w:p>
    <w:p>
      <w:pPr>
        <w:pStyle w:val="7"/>
        <w:spacing w:line="580" w:lineRule="exact"/>
        <w:ind w:firstLine="624" w:firstLineChars="200"/>
        <w:jc w:val="left"/>
        <w:rPr>
          <w:rFonts w:ascii="Times New Roman" w:hAnsi="Times New Roman" w:eastAsia="方正仿宋_GBK"/>
          <w:spacing w:val="-4"/>
          <w:sz w:val="32"/>
          <w:szCs w:val="32"/>
        </w:rPr>
      </w:pPr>
    </w:p>
    <w:p>
      <w:pPr>
        <w:pStyle w:val="7"/>
        <w:spacing w:line="580" w:lineRule="exact"/>
        <w:jc w:val="left"/>
        <w:rPr>
          <w:rFonts w:ascii="Times New Roman" w:hAnsi="Times New Roman" w:eastAsia="方正仿宋_GBK"/>
          <w:spacing w:val="-4"/>
          <w:sz w:val="32"/>
          <w:szCs w:val="32"/>
        </w:rPr>
      </w:pPr>
    </w:p>
    <w:tbl>
      <w:tblPr>
        <w:tblStyle w:val="13"/>
        <w:tblW w:w="11129" w:type="dxa"/>
        <w:jc w:val="center"/>
        <w:tblLayout w:type="fixed"/>
        <w:tblCellMar>
          <w:top w:w="0" w:type="dxa"/>
          <w:left w:w="108" w:type="dxa"/>
          <w:bottom w:w="0" w:type="dxa"/>
          <w:right w:w="108" w:type="dxa"/>
        </w:tblCellMar>
      </w:tblPr>
      <w:tblGrid>
        <w:gridCol w:w="678"/>
        <w:gridCol w:w="664"/>
        <w:gridCol w:w="619"/>
        <w:gridCol w:w="820"/>
        <w:gridCol w:w="2030"/>
        <w:gridCol w:w="753"/>
        <w:gridCol w:w="530"/>
        <w:gridCol w:w="1853"/>
        <w:gridCol w:w="399"/>
        <w:gridCol w:w="2783"/>
      </w:tblGrid>
      <w:tr>
        <w:tblPrEx>
          <w:tblCellMar>
            <w:top w:w="0" w:type="dxa"/>
            <w:left w:w="108" w:type="dxa"/>
            <w:bottom w:w="0" w:type="dxa"/>
            <w:right w:w="108" w:type="dxa"/>
          </w:tblCellMar>
        </w:tblPrEx>
        <w:trPr>
          <w:trHeight w:val="675" w:hRule="atLeast"/>
          <w:jc w:val="center"/>
        </w:trPr>
        <w:tc>
          <w:tcPr>
            <w:tcW w:w="11070" w:type="dxa"/>
            <w:gridSpan w:val="10"/>
            <w:tcBorders>
              <w:top w:val="nil"/>
              <w:left w:val="nil"/>
              <w:bottom w:val="nil"/>
              <w:right w:val="nil"/>
            </w:tcBorders>
            <w:shd w:val="clear" w:color="000000" w:fill="FFFFFF"/>
            <w:vAlign w:val="center"/>
          </w:tcPr>
          <w:p>
            <w:pPr>
              <w:widowControl/>
              <w:tabs>
                <w:tab w:val="left" w:pos="1463"/>
                <w:tab w:val="center" w:pos="5488"/>
              </w:tabs>
              <w:jc w:val="left"/>
              <w:rPr>
                <w:b/>
                <w:bCs/>
                <w:kern w:val="0"/>
                <w:sz w:val="32"/>
                <w:szCs w:val="32"/>
              </w:rPr>
            </w:pPr>
            <w:r>
              <w:rPr>
                <w:rFonts w:hint="eastAsia" w:hAnsi="宋体"/>
                <w:b/>
                <w:bCs/>
                <w:kern w:val="0"/>
                <w:sz w:val="32"/>
                <w:szCs w:val="32"/>
                <w:lang w:eastAsia="zh-CN"/>
              </w:rPr>
              <w:tab/>
            </w:r>
            <w:r>
              <w:rPr>
                <w:rFonts w:hAnsi="宋体"/>
                <w:b/>
                <w:bCs/>
                <w:kern w:val="0"/>
                <w:sz w:val="32"/>
                <w:szCs w:val="32"/>
              </w:rPr>
              <w:t>市科协</w:t>
            </w:r>
            <w:r>
              <w:rPr>
                <w:b/>
                <w:bCs/>
                <w:kern w:val="0"/>
                <w:sz w:val="32"/>
                <w:szCs w:val="32"/>
              </w:rPr>
              <w:t>2021</w:t>
            </w:r>
            <w:r>
              <w:rPr>
                <w:rFonts w:hAnsi="宋体"/>
                <w:b/>
                <w:bCs/>
                <w:kern w:val="0"/>
                <w:sz w:val="32"/>
                <w:szCs w:val="32"/>
              </w:rPr>
              <w:t>年专项（项目）资金绩效</w:t>
            </w:r>
            <w:r>
              <w:rPr>
                <w:rFonts w:hint="eastAsia" w:hAnsi="宋体"/>
                <w:b/>
                <w:bCs/>
                <w:kern w:val="0"/>
                <w:sz w:val="32"/>
                <w:szCs w:val="32"/>
              </w:rPr>
              <w:t>目标</w:t>
            </w:r>
            <w:r>
              <w:rPr>
                <w:rFonts w:hAnsi="宋体"/>
                <w:b/>
                <w:bCs/>
                <w:kern w:val="0"/>
                <w:sz w:val="32"/>
                <w:szCs w:val="32"/>
              </w:rPr>
              <w:t>自评表</w:t>
            </w:r>
          </w:p>
        </w:tc>
      </w:tr>
      <w:tr>
        <w:tblPrEx>
          <w:tblCellMar>
            <w:top w:w="0" w:type="dxa"/>
            <w:left w:w="108" w:type="dxa"/>
            <w:bottom w:w="0" w:type="dxa"/>
            <w:right w:w="108" w:type="dxa"/>
          </w:tblCellMar>
        </w:tblPrEx>
        <w:trPr>
          <w:trHeight w:val="670" w:hRule="atLeast"/>
          <w:jc w:val="center"/>
        </w:trPr>
        <w:tc>
          <w:tcPr>
            <w:tcW w:w="276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kern w:val="0"/>
                <w:sz w:val="15"/>
                <w:szCs w:val="15"/>
              </w:rPr>
            </w:pPr>
            <w:r>
              <w:rPr>
                <w:rFonts w:hint="eastAsia" w:hAnsi="宋体"/>
                <w:kern w:val="0"/>
                <w:sz w:val="15"/>
                <w:szCs w:val="15"/>
              </w:rPr>
              <w:t>主管部门及代码</w:t>
            </w:r>
          </w:p>
        </w:tc>
        <w:tc>
          <w:tcPr>
            <w:tcW w:w="276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kern w:val="0"/>
                <w:sz w:val="15"/>
                <w:szCs w:val="15"/>
              </w:rPr>
            </w:pPr>
            <w:r>
              <w:rPr>
                <w:rFonts w:hint="eastAsia" w:hAnsi="宋体"/>
                <w:kern w:val="0"/>
                <w:sz w:val="15"/>
                <w:szCs w:val="15"/>
              </w:rPr>
              <w:t>214001攀枝花市科学技术协会</w:t>
            </w:r>
          </w:p>
        </w:tc>
        <w:tc>
          <w:tcPr>
            <w:tcW w:w="276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kern w:val="0"/>
                <w:sz w:val="15"/>
                <w:szCs w:val="15"/>
              </w:rPr>
            </w:pPr>
            <w:r>
              <w:rPr>
                <w:rFonts w:hint="eastAsia"/>
                <w:kern w:val="0"/>
                <w:sz w:val="15"/>
                <w:szCs w:val="15"/>
              </w:rPr>
              <w:t>实施单位</w:t>
            </w:r>
          </w:p>
        </w:tc>
        <w:tc>
          <w:tcPr>
            <w:tcW w:w="276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kern w:val="0"/>
                <w:sz w:val="15"/>
                <w:szCs w:val="15"/>
              </w:rPr>
            </w:pPr>
            <w:r>
              <w:rPr>
                <w:rFonts w:hint="eastAsia"/>
                <w:kern w:val="0"/>
                <w:sz w:val="15"/>
                <w:szCs w:val="15"/>
              </w:rPr>
              <w:t>攀枝花市科学技术协会</w:t>
            </w:r>
          </w:p>
        </w:tc>
      </w:tr>
      <w:tr>
        <w:tblPrEx>
          <w:tblCellMar>
            <w:top w:w="0" w:type="dxa"/>
            <w:left w:w="108" w:type="dxa"/>
            <w:bottom w:w="0" w:type="dxa"/>
            <w:right w:w="108" w:type="dxa"/>
          </w:tblCellMar>
        </w:tblPrEx>
        <w:trPr>
          <w:trHeight w:val="849" w:hRule="atLeast"/>
          <w:jc w:val="center"/>
        </w:trPr>
        <w:tc>
          <w:tcPr>
            <w:tcW w:w="67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项目主管单位</w:t>
            </w:r>
          </w:p>
        </w:tc>
        <w:tc>
          <w:tcPr>
            <w:tcW w:w="10395"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攀枝花市科学技术协会</w:t>
            </w:r>
          </w:p>
        </w:tc>
      </w:tr>
      <w:tr>
        <w:tblPrEx>
          <w:tblCellMar>
            <w:top w:w="0" w:type="dxa"/>
            <w:left w:w="108" w:type="dxa"/>
            <w:bottom w:w="0" w:type="dxa"/>
            <w:right w:w="108" w:type="dxa"/>
          </w:tblCellMar>
        </w:tblPrEx>
        <w:trPr>
          <w:trHeight w:val="439" w:hRule="atLeast"/>
          <w:jc w:val="center"/>
        </w:trPr>
        <w:tc>
          <w:tcPr>
            <w:tcW w:w="675"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kern w:val="0"/>
                <w:sz w:val="15"/>
                <w:szCs w:val="15"/>
              </w:rPr>
            </w:pPr>
            <w:r>
              <w:rPr>
                <w:rFonts w:hAnsi="宋体"/>
                <w:kern w:val="0"/>
                <w:sz w:val="15"/>
                <w:szCs w:val="15"/>
              </w:rPr>
              <w:t>项目实施单位</w:t>
            </w:r>
          </w:p>
        </w:tc>
        <w:tc>
          <w:tcPr>
            <w:tcW w:w="10395" w:type="dxa"/>
            <w:gridSpan w:val="9"/>
            <w:tcBorders>
              <w:top w:val="single" w:color="auto" w:sz="4" w:space="0"/>
              <w:left w:val="nil"/>
              <w:bottom w:val="single" w:color="auto" w:sz="4" w:space="0"/>
              <w:right w:val="single" w:color="000000" w:sz="4" w:space="0"/>
            </w:tcBorders>
            <w:shd w:val="clear" w:color="000000" w:fill="FFFFFF"/>
            <w:vAlign w:val="center"/>
          </w:tcPr>
          <w:p>
            <w:pPr>
              <w:widowControl/>
              <w:jc w:val="center"/>
              <w:rPr>
                <w:kern w:val="0"/>
                <w:sz w:val="15"/>
                <w:szCs w:val="15"/>
              </w:rPr>
            </w:pPr>
            <w:r>
              <w:rPr>
                <w:rFonts w:hAnsi="宋体"/>
                <w:kern w:val="0"/>
                <w:sz w:val="15"/>
                <w:szCs w:val="15"/>
              </w:rPr>
              <w:t>攀枝花市科学技术协会</w:t>
            </w:r>
          </w:p>
        </w:tc>
      </w:tr>
      <w:tr>
        <w:tblPrEx>
          <w:tblCellMar>
            <w:top w:w="0" w:type="dxa"/>
            <w:left w:w="108" w:type="dxa"/>
            <w:bottom w:w="0" w:type="dxa"/>
            <w:right w:w="108" w:type="dxa"/>
          </w:tblCellMar>
        </w:tblPrEx>
        <w:trPr>
          <w:trHeight w:val="439" w:hRule="atLeast"/>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项目资金</w:t>
            </w:r>
            <w:r>
              <w:rPr>
                <w:kern w:val="0"/>
                <w:sz w:val="15"/>
                <w:szCs w:val="15"/>
              </w:rPr>
              <w:br w:type="textWrapping"/>
            </w:r>
            <w:r>
              <w:rPr>
                <w:rFonts w:hAnsi="宋体"/>
                <w:kern w:val="0"/>
                <w:sz w:val="15"/>
                <w:szCs w:val="15"/>
              </w:rPr>
              <w:t>（万元）</w:t>
            </w:r>
          </w:p>
        </w:tc>
        <w:tc>
          <w:tcPr>
            <w:tcW w:w="4111" w:type="dxa"/>
            <w:gridSpan w:val="4"/>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预算数</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color w:val="333333"/>
                <w:kern w:val="0"/>
                <w:sz w:val="15"/>
                <w:szCs w:val="15"/>
              </w:rPr>
              <w:t>86.05</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int="eastAsia" w:hAnsi="宋体"/>
                <w:kern w:val="0"/>
                <w:sz w:val="15"/>
                <w:szCs w:val="15"/>
              </w:rPr>
              <w:t>执行数</w:t>
            </w:r>
          </w:p>
        </w:tc>
        <w:tc>
          <w:tcPr>
            <w:tcW w:w="3165"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kern w:val="0"/>
                <w:sz w:val="15"/>
                <w:szCs w:val="15"/>
              </w:rPr>
            </w:pPr>
            <w:r>
              <w:rPr>
                <w:color w:val="333333"/>
                <w:kern w:val="0"/>
                <w:sz w:val="15"/>
                <w:szCs w:val="15"/>
              </w:rPr>
              <w:t>86.05</w:t>
            </w:r>
          </w:p>
        </w:tc>
      </w:tr>
      <w:tr>
        <w:tblPrEx>
          <w:tblCellMar>
            <w:top w:w="0" w:type="dxa"/>
            <w:left w:w="108" w:type="dxa"/>
            <w:bottom w:w="0" w:type="dxa"/>
            <w:right w:w="108" w:type="dxa"/>
          </w:tblCellMar>
        </w:tblPrEx>
        <w:trPr>
          <w:trHeight w:val="43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p>
        </w:tc>
        <w:tc>
          <w:tcPr>
            <w:tcW w:w="4111" w:type="dxa"/>
            <w:gridSpan w:val="4"/>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其中：</w:t>
            </w:r>
            <w:r>
              <w:rPr>
                <w:rFonts w:hint="eastAsia" w:hAnsi="宋体"/>
                <w:kern w:val="0"/>
                <w:sz w:val="15"/>
                <w:szCs w:val="15"/>
              </w:rPr>
              <w:t>财政拨款</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color w:val="333333"/>
                <w:kern w:val="0"/>
                <w:sz w:val="15"/>
                <w:szCs w:val="15"/>
              </w:rPr>
              <w:t>86.05</w:t>
            </w:r>
          </w:p>
        </w:tc>
        <w:tc>
          <w:tcPr>
            <w:tcW w:w="1843" w:type="dxa"/>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其中：</w:t>
            </w:r>
            <w:r>
              <w:rPr>
                <w:rFonts w:hint="eastAsia" w:hAnsi="宋体"/>
                <w:kern w:val="0"/>
                <w:sz w:val="15"/>
                <w:szCs w:val="15"/>
              </w:rPr>
              <w:t>财政拨款</w:t>
            </w:r>
          </w:p>
        </w:tc>
        <w:tc>
          <w:tcPr>
            <w:tcW w:w="3165"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kern w:val="0"/>
                <w:sz w:val="15"/>
                <w:szCs w:val="15"/>
              </w:rPr>
            </w:pPr>
            <w:r>
              <w:rPr>
                <w:color w:val="333333"/>
                <w:kern w:val="0"/>
                <w:sz w:val="15"/>
                <w:szCs w:val="15"/>
              </w:rPr>
              <w:t>86.05</w:t>
            </w:r>
          </w:p>
        </w:tc>
      </w:tr>
      <w:tr>
        <w:tblPrEx>
          <w:tblCellMar>
            <w:top w:w="0" w:type="dxa"/>
            <w:left w:w="108" w:type="dxa"/>
            <w:bottom w:w="0" w:type="dxa"/>
            <w:right w:w="108" w:type="dxa"/>
          </w:tblCellMar>
        </w:tblPrEx>
        <w:trPr>
          <w:trHeight w:val="43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kern w:val="0"/>
                <w:sz w:val="15"/>
                <w:szCs w:val="15"/>
              </w:rPr>
            </w:pPr>
          </w:p>
        </w:tc>
        <w:tc>
          <w:tcPr>
            <w:tcW w:w="4111" w:type="dxa"/>
            <w:gridSpan w:val="4"/>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其他资金</w:t>
            </w:r>
          </w:p>
        </w:tc>
        <w:tc>
          <w:tcPr>
            <w:tcW w:w="1276" w:type="dxa"/>
            <w:gridSpan w:val="2"/>
            <w:tcBorders>
              <w:top w:val="nil"/>
              <w:left w:val="nil"/>
              <w:bottom w:val="single" w:color="auto" w:sz="4" w:space="0"/>
              <w:right w:val="single" w:color="auto" w:sz="4" w:space="0"/>
            </w:tcBorders>
            <w:shd w:val="clear" w:color="000000" w:fill="FFFFFF"/>
            <w:noWrap/>
            <w:vAlign w:val="bottom"/>
          </w:tcPr>
          <w:p>
            <w:pPr>
              <w:widowControl/>
              <w:jc w:val="center"/>
              <w:rPr>
                <w:color w:val="333333"/>
                <w:kern w:val="0"/>
                <w:sz w:val="15"/>
                <w:szCs w:val="15"/>
              </w:rPr>
            </w:pPr>
          </w:p>
        </w:tc>
        <w:tc>
          <w:tcPr>
            <w:tcW w:w="1843" w:type="dxa"/>
            <w:tcBorders>
              <w:top w:val="nil"/>
              <w:left w:val="nil"/>
              <w:bottom w:val="single" w:color="auto" w:sz="4" w:space="0"/>
              <w:right w:val="single" w:color="auto" w:sz="4" w:space="0"/>
            </w:tcBorders>
            <w:shd w:val="clear" w:color="000000" w:fill="FFFFFF"/>
            <w:noWrap/>
            <w:vAlign w:val="center"/>
          </w:tcPr>
          <w:p>
            <w:pPr>
              <w:widowControl/>
              <w:jc w:val="center"/>
              <w:rPr>
                <w:kern w:val="0"/>
                <w:sz w:val="15"/>
                <w:szCs w:val="15"/>
              </w:rPr>
            </w:pPr>
            <w:r>
              <w:rPr>
                <w:rFonts w:hAnsi="宋体"/>
                <w:kern w:val="0"/>
                <w:sz w:val="15"/>
                <w:szCs w:val="15"/>
              </w:rPr>
              <w:t>其他资金</w:t>
            </w:r>
          </w:p>
        </w:tc>
        <w:tc>
          <w:tcPr>
            <w:tcW w:w="3165"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kern w:val="0"/>
                <w:sz w:val="15"/>
                <w:szCs w:val="15"/>
              </w:rPr>
            </w:pPr>
          </w:p>
        </w:tc>
      </w:tr>
      <w:tr>
        <w:tblPrEx>
          <w:tblCellMar>
            <w:top w:w="0" w:type="dxa"/>
            <w:left w:w="108" w:type="dxa"/>
            <w:bottom w:w="0" w:type="dxa"/>
            <w:right w:w="108" w:type="dxa"/>
          </w:tblCellMar>
        </w:tblPrEx>
        <w:trPr>
          <w:trHeight w:val="439" w:hRule="atLeast"/>
          <w:jc w:val="center"/>
        </w:trPr>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总</w:t>
            </w:r>
            <w:r>
              <w:rPr>
                <w:kern w:val="0"/>
                <w:sz w:val="15"/>
                <w:szCs w:val="15"/>
              </w:rPr>
              <w:br w:type="textWrapping"/>
            </w:r>
            <w:r>
              <w:rPr>
                <w:rFonts w:hAnsi="宋体"/>
                <w:kern w:val="0"/>
                <w:sz w:val="15"/>
                <w:szCs w:val="15"/>
              </w:rPr>
              <w:t>体</w:t>
            </w:r>
            <w:r>
              <w:rPr>
                <w:kern w:val="0"/>
                <w:sz w:val="15"/>
                <w:szCs w:val="15"/>
              </w:rPr>
              <w:br w:type="textWrapping"/>
            </w:r>
            <w:r>
              <w:rPr>
                <w:rFonts w:hAnsi="宋体"/>
                <w:kern w:val="0"/>
                <w:sz w:val="15"/>
                <w:szCs w:val="15"/>
              </w:rPr>
              <w:t>目</w:t>
            </w:r>
            <w:r>
              <w:rPr>
                <w:kern w:val="0"/>
                <w:sz w:val="15"/>
                <w:szCs w:val="15"/>
              </w:rPr>
              <w:br w:type="textWrapping"/>
            </w:r>
            <w:r>
              <w:rPr>
                <w:rFonts w:hAnsi="宋体"/>
                <w:kern w:val="0"/>
                <w:sz w:val="15"/>
                <w:szCs w:val="15"/>
              </w:rPr>
              <w:t>标</w:t>
            </w:r>
          </w:p>
        </w:tc>
        <w:tc>
          <w:tcPr>
            <w:tcW w:w="4111"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int="eastAsia" w:hAnsi="宋体"/>
                <w:kern w:val="0"/>
                <w:sz w:val="15"/>
                <w:szCs w:val="15"/>
              </w:rPr>
              <w:t>预期</w:t>
            </w:r>
            <w:r>
              <w:rPr>
                <w:rFonts w:hAnsi="宋体"/>
                <w:kern w:val="0"/>
                <w:sz w:val="15"/>
                <w:szCs w:val="15"/>
              </w:rPr>
              <w:t>目标</w:t>
            </w:r>
          </w:p>
        </w:tc>
        <w:tc>
          <w:tcPr>
            <w:tcW w:w="6284"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int="eastAsia" w:hAnsi="宋体"/>
                <w:kern w:val="0"/>
                <w:sz w:val="15"/>
                <w:szCs w:val="15"/>
              </w:rPr>
              <w:t>目标</w:t>
            </w:r>
            <w:r>
              <w:rPr>
                <w:rFonts w:hAnsi="宋体"/>
                <w:kern w:val="0"/>
                <w:sz w:val="15"/>
                <w:szCs w:val="15"/>
              </w:rPr>
              <w:t>实际完成情况</w:t>
            </w:r>
          </w:p>
        </w:tc>
      </w:tr>
      <w:tr>
        <w:tblPrEx>
          <w:tblCellMar>
            <w:top w:w="0" w:type="dxa"/>
            <w:left w:w="108" w:type="dxa"/>
            <w:bottom w:w="0" w:type="dxa"/>
            <w:right w:w="108" w:type="dxa"/>
          </w:tblCellMar>
        </w:tblPrEx>
        <w:trPr>
          <w:trHeight w:val="1785" w:hRule="atLeast"/>
          <w:jc w:val="center"/>
        </w:trPr>
        <w:tc>
          <w:tcPr>
            <w:tcW w:w="675" w:type="dxa"/>
            <w:vMerge w:val="continue"/>
            <w:tcBorders>
              <w:top w:val="nil"/>
              <w:left w:val="single" w:color="auto" w:sz="4" w:space="0"/>
              <w:bottom w:val="single" w:color="auto" w:sz="4" w:space="0"/>
              <w:right w:val="single" w:color="auto" w:sz="4" w:space="0"/>
            </w:tcBorders>
            <w:vAlign w:val="center"/>
          </w:tcPr>
          <w:p>
            <w:pPr>
              <w:widowControl/>
              <w:jc w:val="center"/>
              <w:rPr>
                <w:kern w:val="0"/>
                <w:sz w:val="15"/>
                <w:szCs w:val="15"/>
              </w:rPr>
            </w:pPr>
          </w:p>
        </w:tc>
        <w:tc>
          <w:tcPr>
            <w:tcW w:w="4111" w:type="dxa"/>
            <w:gridSpan w:val="4"/>
            <w:tcBorders>
              <w:top w:val="single" w:color="auto" w:sz="4" w:space="0"/>
              <w:left w:val="nil"/>
              <w:bottom w:val="single" w:color="auto" w:sz="4" w:space="0"/>
              <w:right w:val="single" w:color="000000" w:sz="4" w:space="0"/>
            </w:tcBorders>
            <w:shd w:val="clear" w:color="000000" w:fill="FFFFFF"/>
          </w:tcPr>
          <w:p>
            <w:pPr>
              <w:widowControl/>
              <w:jc w:val="center"/>
              <w:rPr>
                <w:kern w:val="0"/>
                <w:sz w:val="15"/>
                <w:szCs w:val="15"/>
              </w:rPr>
            </w:pPr>
            <w:r>
              <w:rPr>
                <w:rFonts w:hAnsi="宋体"/>
                <w:kern w:val="0"/>
                <w:sz w:val="15"/>
                <w:szCs w:val="15"/>
              </w:rPr>
              <w:t>持续加强</w:t>
            </w:r>
            <w:r>
              <w:rPr>
                <w:kern w:val="0"/>
                <w:sz w:val="15"/>
                <w:szCs w:val="15"/>
              </w:rPr>
              <w:t>“</w:t>
            </w:r>
            <w:r>
              <w:rPr>
                <w:rFonts w:hAnsi="宋体"/>
                <w:kern w:val="0"/>
                <w:sz w:val="15"/>
                <w:szCs w:val="15"/>
              </w:rPr>
              <w:t>科技工作者之家</w:t>
            </w:r>
            <w:r>
              <w:rPr>
                <w:kern w:val="0"/>
                <w:sz w:val="15"/>
                <w:szCs w:val="15"/>
              </w:rPr>
              <w:t>”</w:t>
            </w:r>
            <w:r>
              <w:rPr>
                <w:rFonts w:hAnsi="宋体"/>
                <w:kern w:val="0"/>
                <w:sz w:val="15"/>
                <w:szCs w:val="15"/>
              </w:rPr>
              <w:t>建设，精准服务科技工作者，组织老年科技工作者开展科技创新和开展科技项目研究、科普宣传和科技咨询服务工作；广泛开展各类群众性科普活动，不断推进现代科普体系建设，提升全民科学素质；加强学会（协会）建设，充分发挥学术、人才、智力、平台优势，助力创新驱动发展；持续巩固提升科协系统改革成果，推进科协治理现代化。</w:t>
            </w:r>
          </w:p>
        </w:tc>
        <w:tc>
          <w:tcPr>
            <w:tcW w:w="6284"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kern w:val="0"/>
                <w:sz w:val="15"/>
                <w:szCs w:val="15"/>
              </w:rPr>
            </w:pPr>
            <w:r>
              <w:rPr>
                <w:kern w:val="0"/>
                <w:sz w:val="15"/>
                <w:szCs w:val="15"/>
              </w:rPr>
              <w:t>2021</w:t>
            </w:r>
            <w:r>
              <w:rPr>
                <w:rFonts w:hAnsi="宋体"/>
                <w:kern w:val="0"/>
                <w:sz w:val="15"/>
                <w:szCs w:val="15"/>
              </w:rPr>
              <w:t>年，市科协坚持以习近平新时代中国特色社会主义思想为指导，全面贯彻中央、省委、市委各项决策部署，科学统筹疫情防控和科协事业发展，以</w:t>
            </w:r>
            <w:r>
              <w:rPr>
                <w:kern w:val="0"/>
                <w:sz w:val="15"/>
                <w:szCs w:val="15"/>
              </w:rPr>
              <w:t>“</w:t>
            </w:r>
            <w:r>
              <w:rPr>
                <w:rFonts w:hAnsi="宋体"/>
                <w:kern w:val="0"/>
                <w:sz w:val="15"/>
                <w:szCs w:val="15"/>
              </w:rPr>
              <w:t>天府科技云</w:t>
            </w:r>
            <w:r>
              <w:rPr>
                <w:kern w:val="0"/>
                <w:sz w:val="15"/>
                <w:szCs w:val="15"/>
              </w:rPr>
              <w:t>”</w:t>
            </w:r>
            <w:r>
              <w:rPr>
                <w:rFonts w:hAnsi="宋体"/>
                <w:kern w:val="0"/>
                <w:sz w:val="15"/>
                <w:szCs w:val="15"/>
              </w:rPr>
              <w:t>平台为载体，认真履行</w:t>
            </w:r>
            <w:r>
              <w:rPr>
                <w:kern w:val="0"/>
                <w:sz w:val="15"/>
                <w:szCs w:val="15"/>
              </w:rPr>
              <w:t>“</w:t>
            </w:r>
            <w:r>
              <w:rPr>
                <w:rFonts w:hAnsi="宋体"/>
                <w:kern w:val="0"/>
                <w:sz w:val="15"/>
                <w:szCs w:val="15"/>
              </w:rPr>
              <w:t>四服务</w:t>
            </w:r>
            <w:r>
              <w:rPr>
                <w:kern w:val="0"/>
                <w:sz w:val="15"/>
                <w:szCs w:val="15"/>
              </w:rPr>
              <w:t>”</w:t>
            </w:r>
            <w:r>
              <w:rPr>
                <w:rFonts w:hAnsi="宋体"/>
                <w:kern w:val="0"/>
                <w:sz w:val="15"/>
                <w:szCs w:val="15"/>
              </w:rPr>
              <w:t>职能职责，扎实推进各项重点工作开展。财政资金绩效评价良好，重点工作有突破、有创新、有亮点，达到主管部门、服务对象和群众满意度，年度预算项目如期完成。市科协能够坚持按照《预算法》和绩效管理的要求，提升绩效预算管理意识，落实工作责任，逐步形成了较为规范的工作流程，绩效预算管理水平进一步提高。</w:t>
            </w:r>
          </w:p>
        </w:tc>
      </w:tr>
      <w:tr>
        <w:tblPrEx>
          <w:tblCellMar>
            <w:top w:w="0" w:type="dxa"/>
            <w:left w:w="108" w:type="dxa"/>
            <w:bottom w:w="0" w:type="dxa"/>
            <w:right w:w="108" w:type="dxa"/>
          </w:tblCellMar>
        </w:tblPrEx>
        <w:trPr>
          <w:trHeight w:val="570" w:hRule="atLeast"/>
          <w:jc w:val="center"/>
        </w:trPr>
        <w:tc>
          <w:tcPr>
            <w:tcW w:w="675" w:type="dxa"/>
            <w:vMerge w:val="restart"/>
            <w:tcBorders>
              <w:top w:val="nil"/>
              <w:left w:val="single" w:color="auto" w:sz="4" w:space="0"/>
              <w:bottom w:val="nil"/>
              <w:right w:val="single" w:color="auto" w:sz="4" w:space="0"/>
            </w:tcBorders>
            <w:shd w:val="clear" w:color="000000" w:fill="FFFFFF"/>
            <w:vAlign w:val="center"/>
          </w:tcPr>
          <w:p>
            <w:pPr>
              <w:widowControl/>
              <w:jc w:val="center"/>
              <w:rPr>
                <w:kern w:val="0"/>
                <w:sz w:val="15"/>
                <w:szCs w:val="15"/>
              </w:rPr>
            </w:pPr>
            <w:r>
              <w:rPr>
                <w:rFonts w:hint="eastAsia" w:hAnsi="宋体"/>
                <w:kern w:val="0"/>
                <w:sz w:val="15"/>
                <w:szCs w:val="15"/>
              </w:rPr>
              <w:t xml:space="preserve">年   度   </w:t>
            </w:r>
            <w:r>
              <w:rPr>
                <w:rFonts w:hAnsi="宋体"/>
                <w:kern w:val="0"/>
                <w:sz w:val="15"/>
                <w:szCs w:val="15"/>
              </w:rPr>
              <w:t>绩</w:t>
            </w:r>
            <w:r>
              <w:rPr>
                <w:kern w:val="0"/>
                <w:sz w:val="15"/>
                <w:szCs w:val="15"/>
              </w:rPr>
              <w:br w:type="textWrapping"/>
            </w:r>
            <w:r>
              <w:rPr>
                <w:rFonts w:hAnsi="宋体"/>
                <w:kern w:val="0"/>
                <w:sz w:val="15"/>
                <w:szCs w:val="15"/>
              </w:rPr>
              <w:t>效</w:t>
            </w:r>
            <w:r>
              <w:rPr>
                <w:kern w:val="0"/>
                <w:sz w:val="15"/>
                <w:szCs w:val="15"/>
              </w:rPr>
              <w:br w:type="textWrapping"/>
            </w:r>
            <w:r>
              <w:rPr>
                <w:rFonts w:hAnsi="宋体"/>
                <w:kern w:val="0"/>
                <w:sz w:val="15"/>
                <w:szCs w:val="15"/>
              </w:rPr>
              <w:t>指</w:t>
            </w:r>
            <w:r>
              <w:rPr>
                <w:kern w:val="0"/>
                <w:sz w:val="15"/>
                <w:szCs w:val="15"/>
              </w:rPr>
              <w:br w:type="textWrapping"/>
            </w:r>
            <w:r>
              <w:rPr>
                <w:rFonts w:hAnsi="宋体"/>
                <w:kern w:val="0"/>
                <w:sz w:val="15"/>
                <w:szCs w:val="15"/>
              </w:rPr>
              <w:t>标</w:t>
            </w:r>
            <w:r>
              <w:rPr>
                <w:rFonts w:hint="eastAsia" w:hAnsi="宋体"/>
                <w:kern w:val="0"/>
                <w:sz w:val="15"/>
                <w:szCs w:val="15"/>
              </w:rPr>
              <w:t xml:space="preserve">   完   成   情   况</w:t>
            </w:r>
          </w:p>
        </w:tc>
        <w:tc>
          <w:tcPr>
            <w:tcW w:w="660" w:type="dxa"/>
            <w:tcBorders>
              <w:top w:val="nil"/>
              <w:left w:val="nil"/>
              <w:bottom w:val="nil"/>
              <w:right w:val="single" w:color="auto" w:sz="4" w:space="0"/>
            </w:tcBorders>
            <w:shd w:val="clear" w:color="000000" w:fill="FFFFFF"/>
            <w:vAlign w:val="center"/>
          </w:tcPr>
          <w:p>
            <w:pPr>
              <w:widowControl/>
              <w:jc w:val="center"/>
              <w:rPr>
                <w:kern w:val="0"/>
                <w:sz w:val="15"/>
                <w:szCs w:val="15"/>
              </w:rPr>
            </w:pPr>
            <w:r>
              <w:rPr>
                <w:rFonts w:hAnsi="宋体"/>
                <w:kern w:val="0"/>
                <w:sz w:val="15"/>
                <w:szCs w:val="15"/>
              </w:rPr>
              <w:t>一级</w:t>
            </w:r>
            <w:r>
              <w:rPr>
                <w:kern w:val="0"/>
                <w:sz w:val="15"/>
                <w:szCs w:val="15"/>
              </w:rPr>
              <w:br w:type="textWrapping"/>
            </w:r>
            <w:r>
              <w:rPr>
                <w:rFonts w:hAnsi="宋体"/>
                <w:kern w:val="0"/>
                <w:sz w:val="15"/>
                <w:szCs w:val="15"/>
              </w:rPr>
              <w:t>指标</w:t>
            </w:r>
          </w:p>
        </w:tc>
        <w:tc>
          <w:tcPr>
            <w:tcW w:w="616" w:type="dxa"/>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二级指标</w:t>
            </w: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三级指标</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预期指标值</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实际完成数</w:t>
            </w:r>
            <w:r>
              <w:rPr>
                <w:rFonts w:hint="eastAsia" w:hAnsi="宋体"/>
                <w:kern w:val="0"/>
                <w:sz w:val="15"/>
                <w:szCs w:val="15"/>
              </w:rPr>
              <w:t>指标值</w:t>
            </w:r>
          </w:p>
        </w:tc>
      </w:tr>
      <w:tr>
        <w:tblPrEx>
          <w:tblCellMar>
            <w:top w:w="0" w:type="dxa"/>
            <w:left w:w="108" w:type="dxa"/>
            <w:bottom w:w="0" w:type="dxa"/>
            <w:right w:w="108" w:type="dxa"/>
          </w:tblCellMar>
        </w:tblPrEx>
        <w:trPr>
          <w:trHeight w:val="1830"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tcBorders>
              <w:top w:val="nil"/>
              <w:left w:val="nil"/>
              <w:bottom w:val="nil"/>
              <w:right w:val="single" w:color="auto" w:sz="4" w:space="0"/>
            </w:tcBorders>
            <w:shd w:val="clear" w:color="000000" w:fill="FFFFFF"/>
            <w:vAlign w:val="center"/>
          </w:tcPr>
          <w:p>
            <w:pPr>
              <w:widowControl/>
              <w:jc w:val="center"/>
              <w:rPr>
                <w:kern w:val="0"/>
                <w:sz w:val="15"/>
                <w:szCs w:val="15"/>
              </w:rPr>
            </w:pPr>
          </w:p>
        </w:tc>
        <w:tc>
          <w:tcPr>
            <w:tcW w:w="61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数量指标</w:t>
            </w: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编制《市全民科学素质行动规划（</w:t>
            </w:r>
            <w:r>
              <w:rPr>
                <w:kern w:val="0"/>
                <w:sz w:val="15"/>
                <w:szCs w:val="15"/>
              </w:rPr>
              <w:t>2021-2035</w:t>
            </w:r>
            <w:r>
              <w:rPr>
                <w:rFonts w:hAnsi="宋体"/>
                <w:kern w:val="0"/>
                <w:sz w:val="15"/>
                <w:szCs w:val="15"/>
              </w:rPr>
              <w:t>）》、</w:t>
            </w:r>
            <w:r>
              <w:rPr>
                <w:kern w:val="0"/>
                <w:sz w:val="15"/>
                <w:szCs w:val="15"/>
              </w:rPr>
              <w:t>“</w:t>
            </w:r>
            <w:r>
              <w:rPr>
                <w:rFonts w:hAnsi="宋体"/>
                <w:kern w:val="0"/>
                <w:sz w:val="15"/>
                <w:szCs w:val="15"/>
              </w:rPr>
              <w:t>十四五</w:t>
            </w:r>
            <w:r>
              <w:rPr>
                <w:kern w:val="0"/>
                <w:sz w:val="15"/>
                <w:szCs w:val="15"/>
              </w:rPr>
              <w:t>”</w:t>
            </w:r>
            <w:r>
              <w:rPr>
                <w:rFonts w:hAnsi="宋体"/>
                <w:kern w:val="0"/>
                <w:sz w:val="15"/>
                <w:szCs w:val="15"/>
              </w:rPr>
              <w:t>实施方案</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各</w:t>
            </w:r>
            <w:r>
              <w:rPr>
                <w:kern w:val="0"/>
                <w:sz w:val="15"/>
                <w:szCs w:val="15"/>
              </w:rPr>
              <w:t>1</w:t>
            </w:r>
            <w:r>
              <w:rPr>
                <w:rFonts w:hAnsi="宋体"/>
                <w:kern w:val="0"/>
                <w:sz w:val="15"/>
                <w:szCs w:val="15"/>
              </w:rPr>
              <w:t>本</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0"/>
                <w:szCs w:val="20"/>
              </w:rPr>
            </w:pPr>
            <w:r>
              <w:rPr>
                <w:rFonts w:hint="eastAsia" w:hAnsi="宋体"/>
                <w:kern w:val="0"/>
                <w:sz w:val="15"/>
                <w:szCs w:val="15"/>
              </w:rPr>
              <w:t>完成</w:t>
            </w:r>
            <w:r>
              <w:rPr>
                <w:rFonts w:hAnsi="宋体"/>
                <w:kern w:val="0"/>
                <w:sz w:val="15"/>
                <w:szCs w:val="15"/>
              </w:rPr>
              <w:t>《攀枝花市全民科学素质行动规划实施方案（</w:t>
            </w:r>
            <w:r>
              <w:rPr>
                <w:kern w:val="0"/>
                <w:sz w:val="15"/>
                <w:szCs w:val="15"/>
              </w:rPr>
              <w:t>2021-2035</w:t>
            </w:r>
            <w:r>
              <w:rPr>
                <w:rFonts w:hAnsi="宋体"/>
                <w:kern w:val="0"/>
                <w:sz w:val="15"/>
                <w:szCs w:val="15"/>
              </w:rPr>
              <w:t>）》（初稿）；</w:t>
            </w:r>
            <w:r>
              <w:rPr>
                <w:rFonts w:hint="eastAsia" w:hAnsi="宋体"/>
                <w:kern w:val="0"/>
                <w:sz w:val="15"/>
                <w:szCs w:val="15"/>
              </w:rPr>
              <w:t>完成</w:t>
            </w:r>
            <w:r>
              <w:rPr>
                <w:rFonts w:hAnsi="宋体"/>
                <w:kern w:val="0"/>
                <w:sz w:val="15"/>
                <w:szCs w:val="15"/>
              </w:rPr>
              <w:t>《攀枝花市科学技术协会事业发展</w:t>
            </w:r>
            <w:r>
              <w:rPr>
                <w:kern w:val="0"/>
                <w:sz w:val="15"/>
                <w:szCs w:val="15"/>
              </w:rPr>
              <w:t>“</w:t>
            </w:r>
            <w:r>
              <w:rPr>
                <w:rFonts w:hAnsi="宋体"/>
                <w:kern w:val="0"/>
                <w:sz w:val="15"/>
                <w:szCs w:val="15"/>
              </w:rPr>
              <w:t>十四五</w:t>
            </w:r>
            <w:r>
              <w:rPr>
                <w:kern w:val="0"/>
                <w:sz w:val="15"/>
                <w:szCs w:val="15"/>
              </w:rPr>
              <w:t>”</w:t>
            </w:r>
            <w:r>
              <w:rPr>
                <w:rFonts w:hAnsi="宋体"/>
                <w:kern w:val="0"/>
                <w:sz w:val="15"/>
                <w:szCs w:val="15"/>
              </w:rPr>
              <w:t>规划》（初稿）</w:t>
            </w:r>
          </w:p>
        </w:tc>
      </w:tr>
      <w:tr>
        <w:tblPrEx>
          <w:tblCellMar>
            <w:top w:w="0" w:type="dxa"/>
            <w:left w:w="108" w:type="dxa"/>
            <w:bottom w:w="0" w:type="dxa"/>
            <w:right w:w="108" w:type="dxa"/>
          </w:tblCellMar>
        </w:tblPrEx>
        <w:trPr>
          <w:trHeight w:val="1279"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tcBorders>
              <w:top w:val="nil"/>
              <w:left w:val="nil"/>
              <w:bottom w:val="nil"/>
              <w:right w:val="single" w:color="auto" w:sz="4" w:space="0"/>
            </w:tcBorders>
            <w:shd w:val="clear" w:color="000000" w:fill="FFFFFF"/>
            <w:vAlign w:val="center"/>
          </w:tcPr>
          <w:p>
            <w:pPr>
              <w:widowControl/>
              <w:jc w:val="center"/>
              <w:rPr>
                <w:kern w:val="0"/>
                <w:sz w:val="15"/>
                <w:szCs w:val="15"/>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center"/>
              <w:rPr>
                <w:kern w:val="0"/>
                <w:sz w:val="15"/>
                <w:szCs w:val="15"/>
              </w:rPr>
            </w:pP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《老科技工作者建言献策选集》、《会员风采录》</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各</w:t>
            </w:r>
            <w:r>
              <w:rPr>
                <w:kern w:val="0"/>
                <w:sz w:val="15"/>
                <w:szCs w:val="15"/>
              </w:rPr>
              <w:t>2</w:t>
            </w:r>
            <w:r>
              <w:rPr>
                <w:rFonts w:hAnsi="宋体"/>
                <w:kern w:val="0"/>
                <w:sz w:val="15"/>
                <w:szCs w:val="15"/>
              </w:rPr>
              <w:t>本</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0"/>
                <w:szCs w:val="20"/>
              </w:rPr>
            </w:pPr>
            <w:r>
              <w:rPr>
                <w:rFonts w:hAnsi="宋体"/>
                <w:kern w:val="0"/>
                <w:sz w:val="15"/>
                <w:szCs w:val="15"/>
              </w:rPr>
              <w:t>属市老科协项目，收集</w:t>
            </w:r>
            <w:r>
              <w:rPr>
                <w:rFonts w:hint="eastAsia" w:hAnsi="宋体"/>
                <w:kern w:val="0"/>
                <w:sz w:val="15"/>
                <w:szCs w:val="15"/>
              </w:rPr>
              <w:t>整理完成</w:t>
            </w:r>
            <w:r>
              <w:rPr>
                <w:rFonts w:hAnsi="宋体"/>
                <w:kern w:val="0"/>
                <w:sz w:val="15"/>
                <w:szCs w:val="15"/>
              </w:rPr>
              <w:t>部分资料，</w:t>
            </w:r>
            <w:r>
              <w:rPr>
                <w:rFonts w:hint="eastAsia" w:hAnsi="宋体"/>
                <w:kern w:val="0"/>
                <w:sz w:val="15"/>
                <w:szCs w:val="15"/>
              </w:rPr>
              <w:t>已结合2022年工作，统筹安排，推进实施。</w:t>
            </w:r>
          </w:p>
        </w:tc>
      </w:tr>
      <w:tr>
        <w:tblPrEx>
          <w:tblCellMar>
            <w:top w:w="0" w:type="dxa"/>
            <w:left w:w="108" w:type="dxa"/>
            <w:bottom w:w="0" w:type="dxa"/>
            <w:right w:w="108" w:type="dxa"/>
          </w:tblCellMar>
        </w:tblPrEx>
        <w:trPr>
          <w:trHeight w:val="870"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restart"/>
            <w:tcBorders>
              <w:top w:val="nil"/>
              <w:left w:val="single" w:color="auto" w:sz="4" w:space="0"/>
              <w:bottom w:val="nil"/>
              <w:right w:val="single" w:color="auto" w:sz="4" w:space="0"/>
            </w:tcBorders>
            <w:shd w:val="clear" w:color="000000" w:fill="FFFFFF"/>
            <w:vAlign w:val="center"/>
          </w:tcPr>
          <w:p>
            <w:pPr>
              <w:widowControl/>
              <w:jc w:val="center"/>
              <w:rPr>
                <w:kern w:val="0"/>
                <w:sz w:val="15"/>
                <w:szCs w:val="15"/>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center"/>
              <w:rPr>
                <w:kern w:val="0"/>
                <w:sz w:val="15"/>
                <w:szCs w:val="15"/>
              </w:rPr>
            </w:pP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编印《市</w:t>
            </w:r>
            <w:r>
              <w:rPr>
                <w:kern w:val="0"/>
                <w:sz w:val="15"/>
                <w:szCs w:val="15"/>
              </w:rPr>
              <w:t>“</w:t>
            </w:r>
            <w:r>
              <w:rPr>
                <w:rFonts w:hAnsi="宋体"/>
                <w:kern w:val="0"/>
                <w:sz w:val="15"/>
                <w:szCs w:val="15"/>
              </w:rPr>
              <w:t>十三五</w:t>
            </w:r>
            <w:r>
              <w:rPr>
                <w:kern w:val="0"/>
                <w:sz w:val="15"/>
                <w:szCs w:val="15"/>
              </w:rPr>
              <w:t>”</w:t>
            </w:r>
            <w:r>
              <w:rPr>
                <w:rFonts w:hAnsi="宋体"/>
                <w:kern w:val="0"/>
                <w:sz w:val="15"/>
                <w:szCs w:val="15"/>
              </w:rPr>
              <w:t>全民科学素质工作概览图册》</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kern w:val="0"/>
                <w:sz w:val="15"/>
                <w:szCs w:val="15"/>
              </w:rPr>
              <w:t>400</w:t>
            </w:r>
            <w:r>
              <w:rPr>
                <w:rFonts w:hAnsi="宋体"/>
                <w:kern w:val="0"/>
                <w:sz w:val="15"/>
                <w:szCs w:val="15"/>
              </w:rPr>
              <w:t>本</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4"/>
              </w:rPr>
            </w:pPr>
            <w:r>
              <w:rPr>
                <w:kern w:val="0"/>
                <w:sz w:val="15"/>
                <w:szCs w:val="15"/>
              </w:rPr>
              <w:t>400</w:t>
            </w:r>
            <w:r>
              <w:rPr>
                <w:rFonts w:hAnsi="宋体"/>
                <w:kern w:val="0"/>
                <w:sz w:val="15"/>
                <w:szCs w:val="15"/>
              </w:rPr>
              <w:t>本</w:t>
            </w:r>
          </w:p>
        </w:tc>
      </w:tr>
      <w:tr>
        <w:tblPrEx>
          <w:tblCellMar>
            <w:top w:w="0" w:type="dxa"/>
            <w:left w:w="108" w:type="dxa"/>
            <w:bottom w:w="0" w:type="dxa"/>
            <w:right w:w="108" w:type="dxa"/>
          </w:tblCellMar>
        </w:tblPrEx>
        <w:trPr>
          <w:trHeight w:val="630"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center"/>
              <w:rPr>
                <w:kern w:val="0"/>
                <w:sz w:val="15"/>
                <w:szCs w:val="15"/>
              </w:rPr>
            </w:pP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召开全民科学素质工作会议</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kern w:val="0"/>
                <w:sz w:val="15"/>
                <w:szCs w:val="15"/>
              </w:rPr>
              <w:t>1</w:t>
            </w:r>
            <w:r>
              <w:rPr>
                <w:rFonts w:hAnsi="宋体"/>
                <w:kern w:val="0"/>
                <w:sz w:val="15"/>
                <w:szCs w:val="15"/>
              </w:rPr>
              <w:t>次</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4"/>
              </w:rPr>
            </w:pPr>
            <w:r>
              <w:rPr>
                <w:kern w:val="0"/>
                <w:sz w:val="15"/>
                <w:szCs w:val="15"/>
              </w:rPr>
              <w:t>1</w:t>
            </w:r>
            <w:r>
              <w:rPr>
                <w:rFonts w:hAnsi="宋体"/>
                <w:kern w:val="0"/>
                <w:sz w:val="15"/>
                <w:szCs w:val="15"/>
              </w:rPr>
              <w:t>次</w:t>
            </w:r>
          </w:p>
        </w:tc>
      </w:tr>
      <w:tr>
        <w:tblPrEx>
          <w:tblCellMar>
            <w:top w:w="0" w:type="dxa"/>
            <w:left w:w="108" w:type="dxa"/>
            <w:bottom w:w="0" w:type="dxa"/>
            <w:right w:w="108" w:type="dxa"/>
          </w:tblCellMar>
        </w:tblPrEx>
        <w:trPr>
          <w:trHeight w:val="2670"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center"/>
              <w:rPr>
                <w:kern w:val="0"/>
                <w:sz w:val="15"/>
                <w:szCs w:val="15"/>
              </w:rPr>
            </w:pP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群众性科普</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kern w:val="0"/>
                <w:sz w:val="15"/>
                <w:szCs w:val="15"/>
              </w:rPr>
              <w:t>15</w:t>
            </w:r>
            <w:r>
              <w:rPr>
                <w:rFonts w:hAnsi="宋体"/>
                <w:kern w:val="0"/>
                <w:sz w:val="15"/>
                <w:szCs w:val="15"/>
              </w:rPr>
              <w:t>次</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4"/>
              </w:rPr>
            </w:pPr>
            <w:r>
              <w:rPr>
                <w:rFonts w:hAnsi="宋体"/>
                <w:kern w:val="0"/>
                <w:sz w:val="15"/>
                <w:szCs w:val="15"/>
              </w:rPr>
              <w:t>充分利用学会（协会）进行科普，全年累计举办专题科普宣传</w:t>
            </w:r>
            <w:r>
              <w:rPr>
                <w:kern w:val="0"/>
                <w:sz w:val="15"/>
                <w:szCs w:val="15"/>
              </w:rPr>
              <w:t>791</w:t>
            </w:r>
            <w:r>
              <w:rPr>
                <w:rFonts w:hAnsi="宋体"/>
                <w:kern w:val="0"/>
                <w:sz w:val="15"/>
                <w:szCs w:val="15"/>
              </w:rPr>
              <w:t>次、科普展览</w:t>
            </w:r>
            <w:r>
              <w:rPr>
                <w:kern w:val="0"/>
                <w:sz w:val="15"/>
                <w:szCs w:val="15"/>
              </w:rPr>
              <w:t>414</w:t>
            </w:r>
            <w:r>
              <w:rPr>
                <w:rFonts w:hAnsi="宋体"/>
                <w:kern w:val="0"/>
                <w:sz w:val="15"/>
                <w:szCs w:val="15"/>
              </w:rPr>
              <w:t>次、科普讲座</w:t>
            </w:r>
            <w:r>
              <w:rPr>
                <w:kern w:val="0"/>
                <w:sz w:val="15"/>
                <w:szCs w:val="15"/>
              </w:rPr>
              <w:t>289</w:t>
            </w:r>
            <w:r>
              <w:rPr>
                <w:rFonts w:hAnsi="宋体"/>
                <w:kern w:val="0"/>
                <w:sz w:val="15"/>
                <w:szCs w:val="15"/>
              </w:rPr>
              <w:t>次；市科技馆展品展览，全年接待参观人员达</w:t>
            </w:r>
            <w:r>
              <w:rPr>
                <w:kern w:val="0"/>
                <w:sz w:val="15"/>
                <w:szCs w:val="15"/>
              </w:rPr>
              <w:t>3.8</w:t>
            </w:r>
            <w:r>
              <w:rPr>
                <w:rFonts w:hAnsi="宋体"/>
                <w:kern w:val="0"/>
                <w:sz w:val="15"/>
                <w:szCs w:val="15"/>
              </w:rPr>
              <w:t>万人次；举办科普大篷车进校园科普宣传</w:t>
            </w:r>
            <w:r>
              <w:rPr>
                <w:kern w:val="0"/>
                <w:sz w:val="15"/>
                <w:szCs w:val="15"/>
              </w:rPr>
              <w:t>4</w:t>
            </w:r>
            <w:r>
              <w:rPr>
                <w:rFonts w:hAnsi="宋体"/>
                <w:kern w:val="0"/>
                <w:sz w:val="15"/>
                <w:szCs w:val="15"/>
              </w:rPr>
              <w:t>次，</w:t>
            </w:r>
            <w:r>
              <w:rPr>
                <w:kern w:val="0"/>
                <w:sz w:val="15"/>
                <w:szCs w:val="15"/>
              </w:rPr>
              <w:t>2600</w:t>
            </w:r>
            <w:r>
              <w:rPr>
                <w:rFonts w:hAnsi="宋体"/>
                <w:kern w:val="0"/>
                <w:sz w:val="15"/>
                <w:szCs w:val="15"/>
              </w:rPr>
              <w:t>人次师生参与互动体验；牵头举办</w:t>
            </w:r>
            <w:r>
              <w:rPr>
                <w:kern w:val="0"/>
                <w:sz w:val="15"/>
                <w:szCs w:val="15"/>
              </w:rPr>
              <w:t>2021</w:t>
            </w:r>
            <w:r>
              <w:rPr>
                <w:rFonts w:hAnsi="宋体"/>
                <w:kern w:val="0"/>
                <w:sz w:val="15"/>
                <w:szCs w:val="15"/>
              </w:rPr>
              <w:t>年攀枝花市</w:t>
            </w:r>
            <w:r>
              <w:rPr>
                <w:kern w:val="0"/>
                <w:sz w:val="15"/>
                <w:szCs w:val="15"/>
              </w:rPr>
              <w:t>“</w:t>
            </w:r>
            <w:r>
              <w:rPr>
                <w:rFonts w:hAnsi="宋体"/>
                <w:kern w:val="0"/>
                <w:sz w:val="15"/>
                <w:szCs w:val="15"/>
              </w:rPr>
              <w:t>全国科普日</w:t>
            </w:r>
            <w:r>
              <w:rPr>
                <w:kern w:val="0"/>
                <w:sz w:val="15"/>
                <w:szCs w:val="15"/>
              </w:rPr>
              <w:t>”</w:t>
            </w:r>
            <w:r>
              <w:rPr>
                <w:rFonts w:hAnsi="宋体"/>
                <w:kern w:val="0"/>
                <w:sz w:val="15"/>
                <w:szCs w:val="15"/>
              </w:rPr>
              <w:t>活动</w:t>
            </w:r>
            <w:r>
              <w:rPr>
                <w:kern w:val="0"/>
                <w:sz w:val="15"/>
                <w:szCs w:val="15"/>
              </w:rPr>
              <w:t>1</w:t>
            </w:r>
            <w:r>
              <w:rPr>
                <w:rFonts w:hAnsi="宋体"/>
                <w:kern w:val="0"/>
                <w:sz w:val="15"/>
                <w:szCs w:val="15"/>
              </w:rPr>
              <w:t>次，联合市第三人民医院开展公益性</w:t>
            </w:r>
            <w:r>
              <w:rPr>
                <w:kern w:val="0"/>
                <w:sz w:val="15"/>
                <w:szCs w:val="15"/>
              </w:rPr>
              <w:t>“</w:t>
            </w:r>
            <w:r>
              <w:rPr>
                <w:rFonts w:hAnsi="宋体"/>
                <w:kern w:val="0"/>
                <w:sz w:val="15"/>
                <w:szCs w:val="15"/>
              </w:rPr>
              <w:t>全国科普日心理健康</w:t>
            </w:r>
            <w:r>
              <w:rPr>
                <w:kern w:val="0"/>
                <w:sz w:val="15"/>
                <w:szCs w:val="15"/>
              </w:rPr>
              <w:t>”</w:t>
            </w:r>
            <w:r>
              <w:rPr>
                <w:rFonts w:hAnsi="宋体"/>
                <w:kern w:val="0"/>
                <w:sz w:val="15"/>
                <w:szCs w:val="15"/>
              </w:rPr>
              <w:t>科普讲座</w:t>
            </w:r>
            <w:r>
              <w:rPr>
                <w:kern w:val="0"/>
                <w:sz w:val="15"/>
                <w:szCs w:val="15"/>
              </w:rPr>
              <w:t>5</w:t>
            </w:r>
            <w:r>
              <w:rPr>
                <w:rFonts w:hAnsi="宋体"/>
                <w:kern w:val="0"/>
                <w:sz w:val="15"/>
                <w:szCs w:val="15"/>
              </w:rPr>
              <w:t>场；组织</w:t>
            </w:r>
            <w:r>
              <w:rPr>
                <w:kern w:val="0"/>
                <w:sz w:val="15"/>
                <w:szCs w:val="15"/>
              </w:rPr>
              <w:t>“</w:t>
            </w:r>
            <w:r>
              <w:rPr>
                <w:rFonts w:hAnsi="宋体"/>
                <w:kern w:val="0"/>
                <w:sz w:val="15"/>
                <w:szCs w:val="15"/>
              </w:rPr>
              <w:t>全国科技工作者日</w:t>
            </w:r>
            <w:r>
              <w:rPr>
                <w:kern w:val="0"/>
                <w:sz w:val="15"/>
                <w:szCs w:val="15"/>
              </w:rPr>
              <w:t>”1</w:t>
            </w:r>
            <w:r>
              <w:rPr>
                <w:rFonts w:hAnsi="宋体"/>
                <w:kern w:val="0"/>
                <w:sz w:val="15"/>
                <w:szCs w:val="15"/>
              </w:rPr>
              <w:t>次；组织开展第</w:t>
            </w:r>
            <w:r>
              <w:rPr>
                <w:kern w:val="0"/>
                <w:sz w:val="15"/>
                <w:szCs w:val="15"/>
              </w:rPr>
              <w:t>18</w:t>
            </w:r>
            <w:r>
              <w:rPr>
                <w:rFonts w:hAnsi="宋体"/>
                <w:kern w:val="0"/>
                <w:sz w:val="15"/>
                <w:szCs w:val="15"/>
              </w:rPr>
              <w:t>届四川省青少年机器人竞赛普及组决赛攀枝花分赛区比赛</w:t>
            </w:r>
            <w:r>
              <w:rPr>
                <w:kern w:val="0"/>
                <w:sz w:val="15"/>
                <w:szCs w:val="15"/>
              </w:rPr>
              <w:t>1</w:t>
            </w:r>
            <w:r>
              <w:rPr>
                <w:rFonts w:hAnsi="宋体"/>
                <w:kern w:val="0"/>
                <w:sz w:val="15"/>
                <w:szCs w:val="15"/>
              </w:rPr>
              <w:t>次、开展</w:t>
            </w:r>
            <w:r>
              <w:rPr>
                <w:kern w:val="0"/>
                <w:sz w:val="15"/>
                <w:szCs w:val="15"/>
              </w:rPr>
              <w:t>“</w:t>
            </w:r>
            <w:r>
              <w:rPr>
                <w:rFonts w:hAnsi="宋体"/>
                <w:kern w:val="0"/>
                <w:sz w:val="15"/>
                <w:szCs w:val="15"/>
              </w:rPr>
              <w:t>讲理想、比贡献</w:t>
            </w:r>
            <w:r>
              <w:rPr>
                <w:kern w:val="0"/>
                <w:sz w:val="15"/>
                <w:szCs w:val="15"/>
              </w:rPr>
              <w:t>”</w:t>
            </w:r>
            <w:r>
              <w:rPr>
                <w:rFonts w:hAnsi="宋体"/>
                <w:kern w:val="0"/>
                <w:sz w:val="15"/>
                <w:szCs w:val="15"/>
              </w:rPr>
              <w:t>竞赛活动</w:t>
            </w:r>
            <w:r>
              <w:rPr>
                <w:kern w:val="0"/>
                <w:sz w:val="15"/>
                <w:szCs w:val="15"/>
              </w:rPr>
              <w:t>1</w:t>
            </w:r>
            <w:r>
              <w:rPr>
                <w:rFonts w:hAnsi="宋体"/>
                <w:kern w:val="0"/>
                <w:sz w:val="15"/>
                <w:szCs w:val="15"/>
              </w:rPr>
              <w:t>次。</w:t>
            </w:r>
          </w:p>
        </w:tc>
      </w:tr>
      <w:tr>
        <w:tblPrEx>
          <w:tblCellMar>
            <w:top w:w="0" w:type="dxa"/>
            <w:left w:w="108" w:type="dxa"/>
            <w:bottom w:w="0" w:type="dxa"/>
            <w:right w:w="108" w:type="dxa"/>
          </w:tblCellMar>
        </w:tblPrEx>
        <w:trPr>
          <w:trHeight w:val="799"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center"/>
              <w:rPr>
                <w:kern w:val="0"/>
                <w:sz w:val="15"/>
                <w:szCs w:val="15"/>
              </w:rPr>
            </w:pP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农村乡土人才大赛</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kern w:val="0"/>
                <w:sz w:val="15"/>
                <w:szCs w:val="15"/>
              </w:rPr>
              <w:t>1</w:t>
            </w:r>
            <w:r>
              <w:rPr>
                <w:rFonts w:hAnsi="宋体"/>
                <w:kern w:val="0"/>
                <w:sz w:val="15"/>
                <w:szCs w:val="15"/>
              </w:rPr>
              <w:t>次</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4"/>
              </w:rPr>
            </w:pPr>
            <w:r>
              <w:rPr>
                <w:kern w:val="0"/>
                <w:sz w:val="15"/>
                <w:szCs w:val="15"/>
              </w:rPr>
              <w:t>1</w:t>
            </w:r>
            <w:r>
              <w:rPr>
                <w:rFonts w:hAnsi="宋体"/>
                <w:kern w:val="0"/>
                <w:sz w:val="15"/>
                <w:szCs w:val="15"/>
              </w:rPr>
              <w:t>次</w:t>
            </w:r>
          </w:p>
        </w:tc>
      </w:tr>
      <w:tr>
        <w:tblPrEx>
          <w:tblCellMar>
            <w:top w:w="0" w:type="dxa"/>
            <w:left w:w="108" w:type="dxa"/>
            <w:bottom w:w="0" w:type="dxa"/>
            <w:right w:w="108" w:type="dxa"/>
          </w:tblCellMar>
        </w:tblPrEx>
        <w:trPr>
          <w:trHeight w:val="705"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center"/>
              <w:rPr>
                <w:kern w:val="0"/>
                <w:sz w:val="15"/>
                <w:szCs w:val="15"/>
              </w:rPr>
            </w:pP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反邪教宣传</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kern w:val="0"/>
                <w:sz w:val="15"/>
                <w:szCs w:val="15"/>
              </w:rPr>
              <w:t>≥6</w:t>
            </w:r>
            <w:r>
              <w:rPr>
                <w:rFonts w:hAnsi="宋体"/>
                <w:kern w:val="0"/>
                <w:sz w:val="15"/>
                <w:szCs w:val="15"/>
              </w:rPr>
              <w:t>次</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4"/>
              </w:rPr>
            </w:pPr>
            <w:r>
              <w:rPr>
                <w:kern w:val="0"/>
                <w:sz w:val="15"/>
                <w:szCs w:val="15"/>
              </w:rPr>
              <w:t>6</w:t>
            </w:r>
            <w:r>
              <w:rPr>
                <w:rFonts w:hAnsi="宋体"/>
                <w:kern w:val="0"/>
                <w:sz w:val="15"/>
                <w:szCs w:val="15"/>
              </w:rPr>
              <w:t>次</w:t>
            </w:r>
          </w:p>
        </w:tc>
      </w:tr>
      <w:tr>
        <w:tblPrEx>
          <w:tblCellMar>
            <w:top w:w="0" w:type="dxa"/>
            <w:left w:w="108" w:type="dxa"/>
            <w:bottom w:w="0" w:type="dxa"/>
            <w:right w:w="108" w:type="dxa"/>
          </w:tblCellMar>
        </w:tblPrEx>
        <w:trPr>
          <w:trHeight w:val="540"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center"/>
              <w:rPr>
                <w:kern w:val="0"/>
                <w:sz w:val="15"/>
                <w:szCs w:val="15"/>
              </w:rPr>
            </w:pP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警示教育宣讲</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kern w:val="0"/>
                <w:sz w:val="15"/>
                <w:szCs w:val="15"/>
              </w:rPr>
              <w:t>3</w:t>
            </w:r>
            <w:r>
              <w:rPr>
                <w:rFonts w:hAnsi="宋体"/>
                <w:kern w:val="0"/>
                <w:sz w:val="15"/>
                <w:szCs w:val="15"/>
              </w:rPr>
              <w:t>次</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4"/>
              </w:rPr>
            </w:pPr>
            <w:r>
              <w:rPr>
                <w:kern w:val="0"/>
                <w:sz w:val="15"/>
                <w:szCs w:val="15"/>
              </w:rPr>
              <w:t>3</w:t>
            </w:r>
            <w:r>
              <w:rPr>
                <w:rFonts w:hAnsi="宋体"/>
                <w:kern w:val="0"/>
                <w:sz w:val="15"/>
                <w:szCs w:val="15"/>
              </w:rPr>
              <w:t>场</w:t>
            </w:r>
          </w:p>
        </w:tc>
      </w:tr>
      <w:tr>
        <w:tblPrEx>
          <w:tblCellMar>
            <w:top w:w="0" w:type="dxa"/>
            <w:left w:w="108" w:type="dxa"/>
            <w:bottom w:w="0" w:type="dxa"/>
            <w:right w:w="108" w:type="dxa"/>
          </w:tblCellMar>
        </w:tblPrEx>
        <w:trPr>
          <w:trHeight w:val="795"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center"/>
              <w:rPr>
                <w:kern w:val="0"/>
                <w:sz w:val="15"/>
                <w:szCs w:val="15"/>
              </w:rPr>
            </w:pP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科普大篷车七进活动</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kern w:val="0"/>
                <w:sz w:val="15"/>
                <w:szCs w:val="15"/>
              </w:rPr>
              <w:t>36</w:t>
            </w:r>
            <w:r>
              <w:rPr>
                <w:rFonts w:hAnsi="宋体"/>
                <w:kern w:val="0"/>
                <w:sz w:val="15"/>
                <w:szCs w:val="15"/>
              </w:rPr>
              <w:t>次</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0"/>
                <w:szCs w:val="20"/>
              </w:rPr>
            </w:pPr>
            <w:r>
              <w:rPr>
                <w:rFonts w:hAnsi="宋体"/>
                <w:kern w:val="0"/>
                <w:sz w:val="15"/>
                <w:szCs w:val="15"/>
              </w:rPr>
              <w:t>因疫情原因，减少聚集性活动，</w:t>
            </w:r>
            <w:r>
              <w:rPr>
                <w:rFonts w:hint="eastAsia" w:hAnsi="宋体"/>
                <w:kern w:val="0"/>
                <w:sz w:val="15"/>
                <w:szCs w:val="15"/>
              </w:rPr>
              <w:t>全年开展活动</w:t>
            </w:r>
            <w:r>
              <w:rPr>
                <w:rFonts w:hAnsi="宋体"/>
                <w:kern w:val="0"/>
                <w:sz w:val="15"/>
                <w:szCs w:val="15"/>
              </w:rPr>
              <w:t>16次</w:t>
            </w:r>
          </w:p>
        </w:tc>
      </w:tr>
      <w:tr>
        <w:tblPrEx>
          <w:tblCellMar>
            <w:top w:w="0" w:type="dxa"/>
            <w:left w:w="108" w:type="dxa"/>
            <w:bottom w:w="0" w:type="dxa"/>
            <w:right w:w="108" w:type="dxa"/>
          </w:tblCellMar>
        </w:tblPrEx>
        <w:trPr>
          <w:trHeight w:val="930"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center"/>
              <w:rPr>
                <w:kern w:val="0"/>
                <w:sz w:val="15"/>
                <w:szCs w:val="15"/>
              </w:rPr>
            </w:pP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评选表彰优秀科技论文</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kern w:val="0"/>
                <w:sz w:val="15"/>
                <w:szCs w:val="15"/>
              </w:rPr>
              <w:t>300</w:t>
            </w:r>
            <w:r>
              <w:rPr>
                <w:rFonts w:hAnsi="宋体"/>
                <w:kern w:val="0"/>
                <w:sz w:val="15"/>
                <w:szCs w:val="15"/>
              </w:rPr>
              <w:t>篇</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4"/>
              </w:rPr>
            </w:pPr>
            <w:r>
              <w:rPr>
                <w:kern w:val="0"/>
                <w:sz w:val="15"/>
                <w:szCs w:val="15"/>
              </w:rPr>
              <w:t>302</w:t>
            </w:r>
            <w:r>
              <w:rPr>
                <w:rFonts w:hAnsi="宋体"/>
                <w:kern w:val="0"/>
                <w:sz w:val="15"/>
                <w:szCs w:val="15"/>
              </w:rPr>
              <w:t>篇</w:t>
            </w:r>
          </w:p>
        </w:tc>
      </w:tr>
      <w:tr>
        <w:tblPrEx>
          <w:tblCellMar>
            <w:top w:w="0" w:type="dxa"/>
            <w:left w:w="108" w:type="dxa"/>
            <w:bottom w:w="0" w:type="dxa"/>
            <w:right w:w="108" w:type="dxa"/>
          </w:tblCellMar>
        </w:tblPrEx>
        <w:trPr>
          <w:trHeight w:val="480"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center"/>
              <w:rPr>
                <w:kern w:val="0"/>
                <w:sz w:val="15"/>
                <w:szCs w:val="15"/>
              </w:rPr>
            </w:pP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慰问院士专家</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kern w:val="0"/>
                <w:sz w:val="15"/>
                <w:szCs w:val="15"/>
              </w:rPr>
              <w:t>5</w:t>
            </w:r>
            <w:r>
              <w:rPr>
                <w:rFonts w:hAnsi="宋体"/>
                <w:kern w:val="0"/>
                <w:sz w:val="15"/>
                <w:szCs w:val="15"/>
              </w:rPr>
              <w:t>人</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4"/>
              </w:rPr>
            </w:pPr>
            <w:r>
              <w:rPr>
                <w:kern w:val="0"/>
                <w:sz w:val="15"/>
                <w:szCs w:val="15"/>
              </w:rPr>
              <w:t>5</w:t>
            </w:r>
            <w:r>
              <w:rPr>
                <w:rFonts w:hAnsi="宋体"/>
                <w:kern w:val="0"/>
                <w:sz w:val="15"/>
                <w:szCs w:val="15"/>
              </w:rPr>
              <w:t>人</w:t>
            </w:r>
          </w:p>
        </w:tc>
      </w:tr>
      <w:tr>
        <w:tblPrEx>
          <w:tblCellMar>
            <w:top w:w="0" w:type="dxa"/>
            <w:left w:w="108" w:type="dxa"/>
            <w:bottom w:w="0" w:type="dxa"/>
            <w:right w:w="108" w:type="dxa"/>
          </w:tblCellMar>
        </w:tblPrEx>
        <w:trPr>
          <w:trHeight w:val="525"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center"/>
              <w:rPr>
                <w:kern w:val="0"/>
                <w:sz w:val="15"/>
                <w:szCs w:val="15"/>
              </w:rPr>
            </w:pP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慰问科技工作者</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kern w:val="0"/>
                <w:sz w:val="15"/>
                <w:szCs w:val="15"/>
              </w:rPr>
              <w:t>10</w:t>
            </w:r>
            <w:r>
              <w:rPr>
                <w:rFonts w:hAnsi="宋体"/>
                <w:kern w:val="0"/>
                <w:sz w:val="15"/>
                <w:szCs w:val="15"/>
              </w:rPr>
              <w:t>人</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4"/>
              </w:rPr>
            </w:pPr>
            <w:r>
              <w:rPr>
                <w:kern w:val="0"/>
                <w:sz w:val="15"/>
                <w:szCs w:val="15"/>
              </w:rPr>
              <w:t>10</w:t>
            </w:r>
            <w:r>
              <w:rPr>
                <w:rFonts w:hAnsi="宋体"/>
                <w:kern w:val="0"/>
                <w:sz w:val="15"/>
                <w:szCs w:val="15"/>
              </w:rPr>
              <w:t>人</w:t>
            </w:r>
          </w:p>
        </w:tc>
      </w:tr>
      <w:tr>
        <w:tblPrEx>
          <w:tblCellMar>
            <w:top w:w="0" w:type="dxa"/>
            <w:left w:w="108" w:type="dxa"/>
            <w:bottom w:w="0" w:type="dxa"/>
            <w:right w:w="108" w:type="dxa"/>
          </w:tblCellMar>
        </w:tblPrEx>
        <w:trPr>
          <w:trHeight w:val="1830"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1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质量指标</w:t>
            </w: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天府科技云服务工作</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实现科技服务市场化、精准化、便捷化，科普服务智能化，提升科技服务及科普服务水平。</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4"/>
              </w:rPr>
            </w:pPr>
            <w:r>
              <w:rPr>
                <w:rFonts w:hAnsi="宋体"/>
                <w:kern w:val="0"/>
                <w:sz w:val="15"/>
                <w:szCs w:val="15"/>
              </w:rPr>
              <w:t>全市在天府科技云平台累计注册个人用户</w:t>
            </w:r>
            <w:r>
              <w:rPr>
                <w:kern w:val="0"/>
                <w:sz w:val="15"/>
                <w:szCs w:val="15"/>
              </w:rPr>
              <w:t>79968</w:t>
            </w:r>
            <w:r>
              <w:rPr>
                <w:rFonts w:hAnsi="宋体"/>
                <w:kern w:val="0"/>
                <w:sz w:val="15"/>
                <w:szCs w:val="15"/>
              </w:rPr>
              <w:t>人、组织机构用户</w:t>
            </w:r>
            <w:r>
              <w:rPr>
                <w:kern w:val="0"/>
                <w:sz w:val="15"/>
                <w:szCs w:val="15"/>
              </w:rPr>
              <w:t>3819</w:t>
            </w:r>
            <w:r>
              <w:rPr>
                <w:rFonts w:hAnsi="宋体"/>
                <w:kern w:val="0"/>
                <w:sz w:val="15"/>
                <w:szCs w:val="15"/>
              </w:rPr>
              <w:t>个；发布科技服务所能</w:t>
            </w:r>
            <w:r>
              <w:rPr>
                <w:kern w:val="0"/>
                <w:sz w:val="15"/>
                <w:szCs w:val="15"/>
              </w:rPr>
              <w:t>15817</w:t>
            </w:r>
            <w:r>
              <w:rPr>
                <w:rFonts w:hAnsi="宋体"/>
                <w:kern w:val="0"/>
                <w:sz w:val="15"/>
                <w:szCs w:val="15"/>
              </w:rPr>
              <w:t>项、科技服务需求</w:t>
            </w:r>
            <w:r>
              <w:rPr>
                <w:kern w:val="0"/>
                <w:sz w:val="15"/>
                <w:szCs w:val="15"/>
              </w:rPr>
              <w:t>5605</w:t>
            </w:r>
            <w:r>
              <w:rPr>
                <w:rFonts w:hAnsi="宋体"/>
                <w:kern w:val="0"/>
                <w:sz w:val="15"/>
                <w:szCs w:val="15"/>
              </w:rPr>
              <w:t>项、科技成果</w:t>
            </w:r>
            <w:r>
              <w:rPr>
                <w:kern w:val="0"/>
                <w:sz w:val="15"/>
                <w:szCs w:val="15"/>
              </w:rPr>
              <w:t>257</w:t>
            </w:r>
            <w:r>
              <w:rPr>
                <w:rFonts w:hAnsi="宋体"/>
                <w:kern w:val="0"/>
                <w:sz w:val="15"/>
                <w:szCs w:val="15"/>
              </w:rPr>
              <w:t>项、科研项目需求</w:t>
            </w:r>
            <w:r>
              <w:rPr>
                <w:kern w:val="0"/>
                <w:sz w:val="15"/>
                <w:szCs w:val="15"/>
              </w:rPr>
              <w:t>141</w:t>
            </w:r>
            <w:r>
              <w:rPr>
                <w:rFonts w:hAnsi="宋体"/>
                <w:kern w:val="0"/>
                <w:sz w:val="15"/>
                <w:szCs w:val="15"/>
              </w:rPr>
              <w:t>项，达成交易</w:t>
            </w:r>
            <w:r>
              <w:rPr>
                <w:kern w:val="0"/>
                <w:sz w:val="15"/>
                <w:szCs w:val="15"/>
              </w:rPr>
              <w:t>79</w:t>
            </w:r>
            <w:r>
              <w:rPr>
                <w:rFonts w:hAnsi="宋体"/>
                <w:kern w:val="0"/>
                <w:sz w:val="15"/>
                <w:szCs w:val="15"/>
              </w:rPr>
              <w:t>项，成交金额约</w:t>
            </w:r>
            <w:r>
              <w:rPr>
                <w:kern w:val="0"/>
                <w:sz w:val="15"/>
                <w:szCs w:val="15"/>
              </w:rPr>
              <w:t>4.4</w:t>
            </w:r>
            <w:r>
              <w:rPr>
                <w:rFonts w:hAnsi="宋体"/>
                <w:kern w:val="0"/>
                <w:sz w:val="15"/>
                <w:szCs w:val="15"/>
              </w:rPr>
              <w:t>亿元。</w:t>
            </w:r>
            <w:r>
              <w:rPr>
                <w:kern w:val="0"/>
                <w:sz w:val="15"/>
                <w:szCs w:val="15"/>
              </w:rPr>
              <w:t>2021</w:t>
            </w:r>
            <w:r>
              <w:rPr>
                <w:rFonts w:hAnsi="宋体"/>
                <w:kern w:val="0"/>
                <w:sz w:val="15"/>
                <w:szCs w:val="15"/>
              </w:rPr>
              <w:t>年，我市在全省天府科技云工作绩效排名中名列前茅。</w:t>
            </w:r>
          </w:p>
        </w:tc>
      </w:tr>
      <w:tr>
        <w:tblPrEx>
          <w:tblCellMar>
            <w:top w:w="0" w:type="dxa"/>
            <w:left w:w="108" w:type="dxa"/>
            <w:bottom w:w="0" w:type="dxa"/>
            <w:right w:w="108" w:type="dxa"/>
          </w:tblCellMar>
        </w:tblPrEx>
        <w:trPr>
          <w:trHeight w:val="2310"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center"/>
              <w:rPr>
                <w:kern w:val="0"/>
                <w:sz w:val="15"/>
                <w:szCs w:val="15"/>
              </w:rPr>
            </w:pP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各项科普活动工作</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稳步有序推进</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4"/>
              </w:rPr>
            </w:pPr>
            <w:r>
              <w:rPr>
                <w:rFonts w:hAnsi="宋体"/>
                <w:kern w:val="0"/>
                <w:sz w:val="15"/>
                <w:szCs w:val="15"/>
              </w:rPr>
              <w:t>有序推进天府科技云工作，着力拓展天府科技云使用的广度和深度；大力提升市科技馆服务水平，初步形成以市科技馆为主馆，各级科普教育基地为主题馆的</w:t>
            </w:r>
            <w:r>
              <w:rPr>
                <w:kern w:val="0"/>
                <w:sz w:val="15"/>
                <w:szCs w:val="15"/>
              </w:rPr>
              <w:t>“1+N”</w:t>
            </w:r>
            <w:r>
              <w:rPr>
                <w:rFonts w:hAnsi="宋体"/>
                <w:kern w:val="0"/>
                <w:sz w:val="15"/>
                <w:szCs w:val="15"/>
              </w:rPr>
              <w:t>科普资源共享模式，汇聚全市科普资源共享联动，满足人们参观、体验、学习、培训需求；不断加强学术交流力度，积极提升学会发展能力，提升我市学术知名度；高效开展科普教育活动，提升了全市公民科学素质。</w:t>
            </w:r>
          </w:p>
        </w:tc>
      </w:tr>
      <w:tr>
        <w:tblPrEx>
          <w:tblCellMar>
            <w:top w:w="0" w:type="dxa"/>
            <w:left w:w="108" w:type="dxa"/>
            <w:bottom w:w="0" w:type="dxa"/>
            <w:right w:w="108" w:type="dxa"/>
          </w:tblCellMar>
        </w:tblPrEx>
        <w:trPr>
          <w:trHeight w:val="1124"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16" w:type="dxa"/>
            <w:vMerge w:val="continue"/>
            <w:tcBorders>
              <w:top w:val="nil"/>
              <w:left w:val="single" w:color="auto" w:sz="4" w:space="0"/>
              <w:bottom w:val="single" w:color="000000" w:sz="4" w:space="0"/>
              <w:right w:val="single" w:color="auto" w:sz="4" w:space="0"/>
            </w:tcBorders>
            <w:vAlign w:val="center"/>
          </w:tcPr>
          <w:p>
            <w:pPr>
              <w:widowControl/>
              <w:jc w:val="center"/>
              <w:rPr>
                <w:kern w:val="0"/>
                <w:sz w:val="15"/>
                <w:szCs w:val="15"/>
              </w:rPr>
            </w:pP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编印的规划、方案、选集等</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rFonts w:hAnsi="宋体"/>
                <w:kern w:val="0"/>
                <w:sz w:val="15"/>
                <w:szCs w:val="15"/>
              </w:rPr>
            </w:pPr>
            <w:r>
              <w:rPr>
                <w:rFonts w:hAnsi="宋体"/>
                <w:kern w:val="0"/>
                <w:sz w:val="15"/>
                <w:szCs w:val="15"/>
              </w:rPr>
              <w:t>真实、客观，能反映攀枝花急需</w:t>
            </w:r>
          </w:p>
        </w:tc>
        <w:tc>
          <w:tcPr>
            <w:tcW w:w="5008" w:type="dxa"/>
            <w:gridSpan w:val="3"/>
            <w:tcBorders>
              <w:top w:val="nil"/>
              <w:left w:val="nil"/>
              <w:bottom w:val="nil"/>
              <w:right w:val="single" w:color="auto" w:sz="4" w:space="0"/>
            </w:tcBorders>
            <w:shd w:val="clear" w:color="000000" w:fill="FFFFFF"/>
            <w:vAlign w:val="center"/>
          </w:tcPr>
          <w:p>
            <w:pPr>
              <w:widowControl/>
              <w:jc w:val="center"/>
              <w:rPr>
                <w:rFonts w:hAnsi="宋体"/>
                <w:kern w:val="0"/>
                <w:sz w:val="15"/>
                <w:szCs w:val="15"/>
              </w:rPr>
            </w:pPr>
            <w:r>
              <w:rPr>
                <w:rFonts w:hAnsi="宋体"/>
                <w:kern w:val="0"/>
                <w:sz w:val="15"/>
                <w:szCs w:val="15"/>
              </w:rPr>
              <w:t>结合攀枝花实际，通过深入基层调研、交流，查阅、整理相关资料等方式收集汇总提炼，真实、准确、客观反映我市实际情况，满足经济社会发展所需。</w:t>
            </w:r>
          </w:p>
        </w:tc>
      </w:tr>
      <w:tr>
        <w:tblPrEx>
          <w:tblCellMar>
            <w:top w:w="0" w:type="dxa"/>
            <w:left w:w="108" w:type="dxa"/>
            <w:bottom w:w="0" w:type="dxa"/>
            <w:right w:w="108" w:type="dxa"/>
          </w:tblCellMar>
        </w:tblPrEx>
        <w:trPr>
          <w:trHeight w:val="1545"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16" w:type="dxa"/>
            <w:tcBorders>
              <w:top w:val="nil"/>
              <w:left w:val="nil"/>
              <w:bottom w:val="nil"/>
              <w:right w:val="single" w:color="auto" w:sz="4" w:space="0"/>
            </w:tcBorders>
            <w:shd w:val="clear" w:color="000000" w:fill="FFFFFF"/>
            <w:vAlign w:val="center"/>
          </w:tcPr>
          <w:p>
            <w:pPr>
              <w:widowControl/>
              <w:jc w:val="center"/>
              <w:rPr>
                <w:kern w:val="0"/>
                <w:sz w:val="15"/>
                <w:szCs w:val="15"/>
              </w:rPr>
            </w:pPr>
            <w:r>
              <w:rPr>
                <w:rFonts w:hAnsi="宋体"/>
                <w:kern w:val="0"/>
                <w:sz w:val="15"/>
                <w:szCs w:val="15"/>
              </w:rPr>
              <w:t>时效指标</w:t>
            </w: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实施及完成时限</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kern w:val="0"/>
                <w:sz w:val="15"/>
                <w:szCs w:val="15"/>
              </w:rPr>
              <w:t>2021</w:t>
            </w:r>
            <w:r>
              <w:rPr>
                <w:rFonts w:hAnsi="宋体"/>
                <w:kern w:val="0"/>
                <w:sz w:val="15"/>
                <w:szCs w:val="15"/>
              </w:rPr>
              <w:t>年</w:t>
            </w:r>
            <w:r>
              <w:rPr>
                <w:kern w:val="0"/>
                <w:sz w:val="15"/>
                <w:szCs w:val="15"/>
              </w:rPr>
              <w:t>12</w:t>
            </w:r>
            <w:r>
              <w:rPr>
                <w:rFonts w:hAnsi="宋体"/>
                <w:kern w:val="0"/>
                <w:sz w:val="15"/>
                <w:szCs w:val="15"/>
              </w:rPr>
              <w:t>月</w:t>
            </w:r>
            <w:r>
              <w:rPr>
                <w:kern w:val="0"/>
                <w:sz w:val="15"/>
                <w:szCs w:val="15"/>
              </w:rPr>
              <w:t>31</w:t>
            </w:r>
            <w:r>
              <w:rPr>
                <w:rFonts w:hint="eastAsia"/>
                <w:kern w:val="0"/>
                <w:sz w:val="15"/>
                <w:szCs w:val="15"/>
              </w:rPr>
              <w:t>日之前</w:t>
            </w:r>
            <w:r>
              <w:rPr>
                <w:kern w:val="0"/>
                <w:sz w:val="15"/>
                <w:szCs w:val="15"/>
              </w:rPr>
              <w:t xml:space="preserve"> </w:t>
            </w:r>
          </w:p>
        </w:tc>
        <w:tc>
          <w:tcPr>
            <w:tcW w:w="5008" w:type="dxa"/>
            <w:gridSpan w:val="3"/>
            <w:tcBorders>
              <w:top w:val="single" w:color="auto" w:sz="4" w:space="0"/>
              <w:left w:val="nil"/>
              <w:bottom w:val="nil"/>
              <w:right w:val="single" w:color="auto" w:sz="4" w:space="0"/>
            </w:tcBorders>
            <w:shd w:val="clear" w:color="000000" w:fill="FFFFFF"/>
            <w:vAlign w:val="center"/>
          </w:tcPr>
          <w:p>
            <w:pPr>
              <w:widowControl/>
              <w:jc w:val="center"/>
              <w:rPr>
                <w:kern w:val="0"/>
                <w:sz w:val="15"/>
                <w:szCs w:val="15"/>
              </w:rPr>
            </w:pPr>
            <w:r>
              <w:rPr>
                <w:kern w:val="0"/>
                <w:sz w:val="15"/>
                <w:szCs w:val="15"/>
              </w:rPr>
              <w:t>2021</w:t>
            </w:r>
            <w:r>
              <w:rPr>
                <w:rFonts w:hAnsi="宋体"/>
                <w:kern w:val="0"/>
                <w:sz w:val="15"/>
                <w:szCs w:val="15"/>
              </w:rPr>
              <w:t>年</w:t>
            </w:r>
            <w:r>
              <w:rPr>
                <w:kern w:val="0"/>
                <w:sz w:val="15"/>
                <w:szCs w:val="15"/>
              </w:rPr>
              <w:t>12</w:t>
            </w:r>
            <w:r>
              <w:rPr>
                <w:rFonts w:hAnsi="宋体"/>
                <w:kern w:val="0"/>
                <w:sz w:val="15"/>
                <w:szCs w:val="15"/>
              </w:rPr>
              <w:t>月</w:t>
            </w:r>
            <w:r>
              <w:rPr>
                <w:kern w:val="0"/>
                <w:sz w:val="15"/>
                <w:szCs w:val="15"/>
              </w:rPr>
              <w:t>31</w:t>
            </w:r>
            <w:r>
              <w:rPr>
                <w:rFonts w:hint="eastAsia"/>
                <w:kern w:val="0"/>
                <w:sz w:val="15"/>
                <w:szCs w:val="15"/>
              </w:rPr>
              <w:t>日之前</w:t>
            </w:r>
          </w:p>
        </w:tc>
      </w:tr>
      <w:tr>
        <w:tblPrEx>
          <w:tblCellMar>
            <w:top w:w="0" w:type="dxa"/>
            <w:left w:w="108" w:type="dxa"/>
            <w:bottom w:w="0" w:type="dxa"/>
            <w:right w:w="108" w:type="dxa"/>
          </w:tblCellMar>
        </w:tblPrEx>
        <w:trPr>
          <w:trHeight w:val="810"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16" w:type="dxa"/>
            <w:tcBorders>
              <w:top w:val="single" w:color="auto" w:sz="4" w:space="0"/>
              <w:left w:val="nil"/>
              <w:bottom w:val="nil"/>
              <w:right w:val="single" w:color="auto" w:sz="4" w:space="0"/>
            </w:tcBorders>
            <w:shd w:val="clear" w:color="000000" w:fill="FFFFFF"/>
            <w:vAlign w:val="center"/>
          </w:tcPr>
          <w:p>
            <w:pPr>
              <w:widowControl/>
              <w:jc w:val="center"/>
              <w:rPr>
                <w:kern w:val="0"/>
                <w:sz w:val="15"/>
                <w:szCs w:val="15"/>
              </w:rPr>
            </w:pPr>
            <w:r>
              <w:rPr>
                <w:rFonts w:hAnsi="宋体"/>
                <w:kern w:val="0"/>
                <w:sz w:val="15"/>
                <w:szCs w:val="15"/>
              </w:rPr>
              <w:t>成本指标</w:t>
            </w:r>
          </w:p>
        </w:tc>
        <w:tc>
          <w:tcPr>
            <w:tcW w:w="2835" w:type="dxa"/>
            <w:gridSpan w:val="2"/>
            <w:tcBorders>
              <w:top w:val="nil"/>
              <w:left w:val="nil"/>
              <w:bottom w:val="single" w:color="auto" w:sz="4" w:space="0"/>
              <w:right w:val="nil"/>
            </w:tcBorders>
            <w:shd w:val="clear" w:color="000000" w:fill="FFFFFF"/>
            <w:noWrap/>
            <w:vAlign w:val="center"/>
          </w:tcPr>
          <w:p>
            <w:pPr>
              <w:widowControl/>
              <w:jc w:val="center"/>
              <w:rPr>
                <w:kern w:val="0"/>
                <w:sz w:val="15"/>
                <w:szCs w:val="15"/>
              </w:rPr>
            </w:pPr>
            <w:r>
              <w:rPr>
                <w:rFonts w:hAnsi="宋体"/>
                <w:kern w:val="0"/>
                <w:sz w:val="15"/>
                <w:szCs w:val="15"/>
              </w:rPr>
              <w:t>科普活动经费</w:t>
            </w:r>
          </w:p>
        </w:tc>
        <w:tc>
          <w:tcPr>
            <w:tcW w:w="1276"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kern w:val="0"/>
                <w:sz w:val="15"/>
                <w:szCs w:val="15"/>
              </w:rPr>
            </w:pPr>
            <w:r>
              <w:rPr>
                <w:kern w:val="0"/>
                <w:sz w:val="15"/>
                <w:szCs w:val="15"/>
              </w:rPr>
              <w:t>≤94.50</w:t>
            </w:r>
          </w:p>
        </w:tc>
        <w:tc>
          <w:tcPr>
            <w:tcW w:w="5008"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kern w:val="0"/>
                <w:sz w:val="24"/>
              </w:rPr>
            </w:pPr>
            <w:r>
              <w:rPr>
                <w:kern w:val="0"/>
                <w:sz w:val="15"/>
                <w:szCs w:val="15"/>
              </w:rPr>
              <w:t>86.05</w:t>
            </w:r>
          </w:p>
        </w:tc>
      </w:tr>
      <w:tr>
        <w:tblPrEx>
          <w:tblCellMar>
            <w:top w:w="0" w:type="dxa"/>
            <w:left w:w="108" w:type="dxa"/>
            <w:bottom w:w="0" w:type="dxa"/>
            <w:right w:w="108" w:type="dxa"/>
          </w:tblCellMar>
        </w:tblPrEx>
        <w:trPr>
          <w:trHeight w:val="3015"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kern w:val="0"/>
                <w:sz w:val="15"/>
                <w:szCs w:val="15"/>
              </w:rPr>
            </w:pPr>
            <w:r>
              <w:rPr>
                <w:rFonts w:hAnsi="宋体"/>
                <w:kern w:val="0"/>
                <w:sz w:val="15"/>
                <w:szCs w:val="15"/>
              </w:rPr>
              <w:t>项目效益</w:t>
            </w:r>
          </w:p>
        </w:tc>
        <w:tc>
          <w:tcPr>
            <w:tcW w:w="616" w:type="dxa"/>
            <w:tcBorders>
              <w:top w:val="single" w:color="auto" w:sz="4" w:space="0"/>
              <w:left w:val="nil"/>
              <w:bottom w:val="nil"/>
              <w:right w:val="single" w:color="auto" w:sz="4" w:space="0"/>
            </w:tcBorders>
            <w:shd w:val="clear" w:color="000000" w:fill="FFFFFF"/>
            <w:vAlign w:val="center"/>
          </w:tcPr>
          <w:p>
            <w:pPr>
              <w:widowControl/>
              <w:jc w:val="center"/>
              <w:rPr>
                <w:kern w:val="0"/>
                <w:sz w:val="15"/>
                <w:szCs w:val="15"/>
              </w:rPr>
            </w:pPr>
            <w:r>
              <w:rPr>
                <w:rFonts w:hAnsi="宋体"/>
                <w:kern w:val="0"/>
                <w:sz w:val="15"/>
                <w:szCs w:val="15"/>
              </w:rPr>
              <w:t>经济效益</w:t>
            </w:r>
            <w:r>
              <w:rPr>
                <w:kern w:val="0"/>
                <w:sz w:val="15"/>
                <w:szCs w:val="15"/>
              </w:rPr>
              <w:br w:type="textWrapping"/>
            </w:r>
            <w:r>
              <w:rPr>
                <w:rFonts w:hAnsi="宋体"/>
                <w:kern w:val="0"/>
                <w:sz w:val="15"/>
                <w:szCs w:val="15"/>
              </w:rPr>
              <w:t>指标</w:t>
            </w:r>
          </w:p>
        </w:tc>
        <w:tc>
          <w:tcPr>
            <w:tcW w:w="2835" w:type="dxa"/>
            <w:gridSpan w:val="2"/>
            <w:tcBorders>
              <w:top w:val="nil"/>
              <w:left w:val="nil"/>
              <w:bottom w:val="single" w:color="auto" w:sz="4" w:space="0"/>
              <w:right w:val="nil"/>
            </w:tcBorders>
            <w:shd w:val="clear" w:color="000000" w:fill="FFFFFF"/>
            <w:vAlign w:val="center"/>
          </w:tcPr>
          <w:p>
            <w:pPr>
              <w:widowControl/>
              <w:jc w:val="center"/>
              <w:rPr>
                <w:kern w:val="0"/>
                <w:sz w:val="15"/>
                <w:szCs w:val="15"/>
              </w:rPr>
            </w:pPr>
            <w:r>
              <w:rPr>
                <w:rFonts w:hAnsi="宋体"/>
                <w:kern w:val="0"/>
                <w:sz w:val="15"/>
                <w:szCs w:val="15"/>
              </w:rPr>
              <w:t>院士（专家）工作站</w:t>
            </w:r>
          </w:p>
        </w:tc>
        <w:tc>
          <w:tcPr>
            <w:tcW w:w="1276"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建站单位通过院士（专家）工作站平台，以自身需求为依托，引进国内外院士（专家）及其团队，联合开展技术攻关，建站单位攻克技术难关，增加产品附加值或研发新产品新工艺</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4"/>
              </w:rPr>
            </w:pPr>
            <w:r>
              <w:rPr>
                <w:rFonts w:hAnsi="宋体"/>
                <w:color w:val="000000"/>
                <w:kern w:val="0"/>
                <w:sz w:val="15"/>
                <w:szCs w:val="15"/>
              </w:rPr>
              <w:t>修订完善攀枝花市院士（专家）工作站申报评审办法、考核办法、专项资金管理办法、实施办法，为院士（专家）工作站高质量运行提供制度保障；完成</w:t>
            </w:r>
            <w:r>
              <w:rPr>
                <w:color w:val="000000"/>
                <w:kern w:val="0"/>
                <w:sz w:val="15"/>
                <w:szCs w:val="15"/>
              </w:rPr>
              <w:t>6</w:t>
            </w:r>
            <w:r>
              <w:rPr>
                <w:rFonts w:hAnsi="宋体"/>
                <w:color w:val="000000"/>
                <w:kern w:val="0"/>
                <w:sz w:val="15"/>
                <w:szCs w:val="15"/>
              </w:rPr>
              <w:t>家市级院士（专家）工作站重新评审确认工作，攀钢集团院士工作站被认定为省级院士工作站。</w:t>
            </w:r>
          </w:p>
        </w:tc>
      </w:tr>
      <w:tr>
        <w:tblPrEx>
          <w:tblCellMar>
            <w:top w:w="0" w:type="dxa"/>
            <w:left w:w="108" w:type="dxa"/>
            <w:bottom w:w="0" w:type="dxa"/>
            <w:right w:w="108" w:type="dxa"/>
          </w:tblCellMar>
        </w:tblPrEx>
        <w:trPr>
          <w:trHeight w:val="2760"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vMerge w:val="continue"/>
            <w:tcBorders>
              <w:top w:val="single" w:color="auto" w:sz="4" w:space="0"/>
              <w:left w:val="single" w:color="auto" w:sz="4" w:space="0"/>
              <w:bottom w:val="nil"/>
              <w:right w:val="single" w:color="auto" w:sz="4" w:space="0"/>
            </w:tcBorders>
            <w:vAlign w:val="center"/>
          </w:tcPr>
          <w:p>
            <w:pPr>
              <w:widowControl/>
              <w:jc w:val="center"/>
              <w:rPr>
                <w:kern w:val="0"/>
                <w:sz w:val="15"/>
                <w:szCs w:val="15"/>
              </w:rPr>
            </w:pPr>
          </w:p>
        </w:tc>
        <w:tc>
          <w:tcPr>
            <w:tcW w:w="616" w:type="dxa"/>
            <w:tcBorders>
              <w:top w:val="single" w:color="auto" w:sz="4" w:space="0"/>
              <w:left w:val="nil"/>
              <w:bottom w:val="nil"/>
              <w:right w:val="single" w:color="auto" w:sz="4" w:space="0"/>
            </w:tcBorders>
            <w:shd w:val="clear" w:color="000000" w:fill="FFFFFF"/>
            <w:vAlign w:val="center"/>
          </w:tcPr>
          <w:p>
            <w:pPr>
              <w:widowControl/>
              <w:jc w:val="center"/>
              <w:rPr>
                <w:kern w:val="0"/>
                <w:sz w:val="15"/>
                <w:szCs w:val="15"/>
              </w:rPr>
            </w:pPr>
            <w:r>
              <w:rPr>
                <w:rFonts w:hAnsi="宋体"/>
                <w:kern w:val="0"/>
                <w:sz w:val="15"/>
                <w:szCs w:val="15"/>
              </w:rPr>
              <w:t>社会效益</w:t>
            </w:r>
            <w:r>
              <w:rPr>
                <w:kern w:val="0"/>
                <w:sz w:val="15"/>
                <w:szCs w:val="15"/>
              </w:rPr>
              <w:br w:type="textWrapping"/>
            </w:r>
            <w:r>
              <w:rPr>
                <w:rFonts w:hAnsi="宋体"/>
                <w:kern w:val="0"/>
                <w:sz w:val="15"/>
                <w:szCs w:val="15"/>
              </w:rPr>
              <w:t>指标</w:t>
            </w:r>
          </w:p>
        </w:tc>
        <w:tc>
          <w:tcPr>
            <w:tcW w:w="2835" w:type="dxa"/>
            <w:gridSpan w:val="2"/>
            <w:tcBorders>
              <w:top w:val="nil"/>
              <w:left w:val="nil"/>
              <w:bottom w:val="single" w:color="auto" w:sz="4" w:space="0"/>
              <w:right w:val="nil"/>
            </w:tcBorders>
            <w:shd w:val="clear" w:color="000000" w:fill="FFFFFF"/>
            <w:vAlign w:val="center"/>
          </w:tcPr>
          <w:p>
            <w:pPr>
              <w:widowControl/>
              <w:jc w:val="center"/>
              <w:rPr>
                <w:kern w:val="0"/>
                <w:sz w:val="15"/>
                <w:szCs w:val="15"/>
              </w:rPr>
            </w:pPr>
            <w:r>
              <w:rPr>
                <w:rFonts w:hAnsi="宋体"/>
                <w:kern w:val="0"/>
                <w:sz w:val="15"/>
                <w:szCs w:val="15"/>
              </w:rPr>
              <w:t>各项科普活动</w:t>
            </w:r>
          </w:p>
        </w:tc>
        <w:tc>
          <w:tcPr>
            <w:tcW w:w="1276"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提高全民科学素质、社会公众特别是青少年学生科学素质、我市科技工作者学术理论水平、民众防邪拒邪能力，维护社会和谐稳定，促进产业发展。</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4"/>
              </w:rPr>
            </w:pPr>
            <w:r>
              <w:rPr>
                <w:rFonts w:hAnsi="宋体"/>
                <w:kern w:val="0"/>
                <w:sz w:val="15"/>
                <w:szCs w:val="15"/>
              </w:rPr>
              <w:t>始终坚持以科技工作者为中心，建设开放型、枢纽型、平台型科协组织，全面提升政治引领政治吸纳能力、创新文化引领能力、创新人才凝聚能力、科技社会化服务能力、科技人文交流合作能力，使科协组织真正成为科技工作者的精神家园，成为攀枝花创新体系的重要组成部分，为攀枝花高质量发展贡献力量</w:t>
            </w:r>
          </w:p>
        </w:tc>
      </w:tr>
      <w:tr>
        <w:tblPrEx>
          <w:tblCellMar>
            <w:top w:w="0" w:type="dxa"/>
            <w:left w:w="108" w:type="dxa"/>
            <w:bottom w:w="0" w:type="dxa"/>
            <w:right w:w="108" w:type="dxa"/>
          </w:tblCellMar>
        </w:tblPrEx>
        <w:trPr>
          <w:trHeight w:val="1155" w:hRule="atLeast"/>
          <w:jc w:val="center"/>
        </w:trPr>
        <w:tc>
          <w:tcPr>
            <w:tcW w:w="675" w:type="dxa"/>
            <w:vMerge w:val="continue"/>
            <w:tcBorders>
              <w:top w:val="nil"/>
              <w:left w:val="single" w:color="auto" w:sz="4" w:space="0"/>
              <w:bottom w:val="nil"/>
              <w:right w:val="single" w:color="auto" w:sz="4" w:space="0"/>
            </w:tcBorders>
            <w:vAlign w:val="center"/>
          </w:tcPr>
          <w:p>
            <w:pPr>
              <w:widowControl/>
              <w:jc w:val="center"/>
              <w:rPr>
                <w:kern w:val="0"/>
                <w:sz w:val="15"/>
                <w:szCs w:val="15"/>
              </w:rPr>
            </w:pPr>
          </w:p>
        </w:tc>
        <w:tc>
          <w:tcPr>
            <w:tcW w:w="66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满意度指标</w:t>
            </w:r>
          </w:p>
        </w:tc>
        <w:tc>
          <w:tcPr>
            <w:tcW w:w="61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满意度指标</w:t>
            </w:r>
          </w:p>
        </w:tc>
        <w:tc>
          <w:tcPr>
            <w:tcW w:w="2835"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主管部门、基层群众、组织、服务对象满意度</w:t>
            </w:r>
          </w:p>
        </w:tc>
        <w:tc>
          <w:tcPr>
            <w:tcW w:w="1276" w:type="dxa"/>
            <w:gridSpan w:val="2"/>
            <w:tcBorders>
              <w:top w:val="nil"/>
              <w:left w:val="nil"/>
              <w:bottom w:val="single" w:color="auto" w:sz="4" w:space="0"/>
              <w:right w:val="single" w:color="auto" w:sz="4" w:space="0"/>
            </w:tcBorders>
            <w:shd w:val="clear" w:color="000000" w:fill="FFFFFF"/>
            <w:vAlign w:val="center"/>
          </w:tcPr>
          <w:p>
            <w:pPr>
              <w:widowControl/>
              <w:jc w:val="center"/>
              <w:rPr>
                <w:kern w:val="0"/>
                <w:sz w:val="15"/>
                <w:szCs w:val="15"/>
              </w:rPr>
            </w:pPr>
            <w:r>
              <w:rPr>
                <w:rFonts w:hAnsi="宋体"/>
                <w:kern w:val="0"/>
                <w:sz w:val="15"/>
                <w:szCs w:val="15"/>
              </w:rPr>
              <w:t>达到基本满意及以上</w:t>
            </w:r>
          </w:p>
        </w:tc>
        <w:tc>
          <w:tcPr>
            <w:tcW w:w="5008" w:type="dxa"/>
            <w:gridSpan w:val="3"/>
            <w:tcBorders>
              <w:top w:val="nil"/>
              <w:left w:val="nil"/>
              <w:bottom w:val="single" w:color="auto" w:sz="4" w:space="0"/>
              <w:right w:val="single" w:color="auto" w:sz="4" w:space="0"/>
            </w:tcBorders>
            <w:shd w:val="clear" w:color="000000" w:fill="FFFFFF"/>
            <w:vAlign w:val="center"/>
          </w:tcPr>
          <w:p>
            <w:pPr>
              <w:widowControl/>
              <w:jc w:val="center"/>
              <w:rPr>
                <w:kern w:val="0"/>
                <w:sz w:val="24"/>
              </w:rPr>
            </w:pPr>
            <w:r>
              <w:rPr>
                <w:rFonts w:hAnsi="宋体"/>
                <w:kern w:val="0"/>
                <w:sz w:val="15"/>
                <w:szCs w:val="15"/>
              </w:rPr>
              <w:t>主管部门、服务对象和群众达到基本满意及以上。</w:t>
            </w:r>
          </w:p>
        </w:tc>
      </w:tr>
    </w:tbl>
    <w:p>
      <w:pPr>
        <w:pStyle w:val="7"/>
        <w:spacing w:line="580" w:lineRule="exact"/>
        <w:ind w:firstLine="624" w:firstLineChars="200"/>
        <w:jc w:val="left"/>
        <w:rPr>
          <w:rFonts w:ascii="Times New Roman" w:hAnsi="Times New Roman" w:eastAsia="方正仿宋_GBK"/>
          <w:spacing w:val="-4"/>
          <w:sz w:val="32"/>
          <w:szCs w:val="32"/>
        </w:rPr>
      </w:pPr>
    </w:p>
    <w:p>
      <w:pPr>
        <w:spacing w:line="600" w:lineRule="exact"/>
        <w:jc w:val="center"/>
        <w:outlineLvl w:val="0"/>
        <w:rPr>
          <w:rStyle w:val="25"/>
          <w:rFonts w:eastAsia="黑体"/>
          <w:b w:val="0"/>
        </w:rPr>
      </w:pPr>
      <w:bookmarkStart w:id="63" w:name="_Toc15396618"/>
      <w:r>
        <w:rPr>
          <w:rFonts w:hAnsi="黑体" w:eastAsia="黑体"/>
          <w:sz w:val="44"/>
          <w:szCs w:val="44"/>
        </w:rPr>
        <w:t>第</w:t>
      </w:r>
      <w:r>
        <w:rPr>
          <w:rStyle w:val="25"/>
          <w:rFonts w:hAnsi="黑体" w:eastAsia="黑体"/>
          <w:b w:val="0"/>
        </w:rPr>
        <w:t>五部分附表</w:t>
      </w:r>
      <w:bookmarkEnd w:id="61"/>
      <w:bookmarkEnd w:id="63"/>
      <w:bookmarkStart w:id="64" w:name="_Toc15396619"/>
    </w:p>
    <w:p>
      <w:pPr>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Style w:val="26"/>
          <w:rFonts w:ascii="Times New Roman" w:hAnsi="Times New Roman" w:eastAsia="黑体" w:cs="Times New Roman"/>
          <w:b w:val="0"/>
          <w:kern w:val="44"/>
          <w:sz w:val="44"/>
          <w:szCs w:val="44"/>
        </w:rPr>
      </w:pPr>
      <w:r>
        <w:rPr>
          <w:rStyle w:val="26"/>
          <w:rFonts w:ascii="Times New Roman" w:hAnsi="仿宋" w:eastAsia="仿宋" w:cs="Times New Roman"/>
        </w:rPr>
        <w:t>一、</w:t>
      </w:r>
      <w:r>
        <w:rPr>
          <w:rStyle w:val="26"/>
          <w:rFonts w:ascii="Times New Roman" w:hAnsi="仿宋" w:eastAsia="仿宋" w:cs="Times New Roman"/>
          <w:b w:val="0"/>
        </w:rPr>
        <w:t>收</w:t>
      </w:r>
      <w:r>
        <w:rPr>
          <w:rStyle w:val="26"/>
          <w:rFonts w:ascii="Times New Roman" w:hAnsi="仿宋" w:eastAsia="仿宋" w:cs="Times New Roman"/>
          <w:b w:val="0"/>
          <w:bCs w:val="0"/>
        </w:rPr>
        <w:t>入支出决算总表</w:t>
      </w:r>
      <w:bookmarkEnd w:id="64"/>
    </w:p>
    <w:p>
      <w:pPr>
        <w:pStyle w:val="4"/>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 w:cs="Times New Roman"/>
        </w:rPr>
      </w:pPr>
      <w:bookmarkStart w:id="65" w:name="_Toc15396620"/>
      <w:r>
        <w:rPr>
          <w:rFonts w:ascii="Times New Roman" w:hAnsi="仿宋" w:eastAsia="仿宋" w:cs="Times New Roman"/>
          <w:b w:val="0"/>
        </w:rPr>
        <w:t>二、收</w:t>
      </w:r>
      <w:r>
        <w:rPr>
          <w:rStyle w:val="26"/>
          <w:rFonts w:ascii="Times New Roman" w:hAnsi="仿宋" w:eastAsia="仿宋" w:cs="Times New Roman"/>
          <w:b w:val="0"/>
          <w:bCs w:val="0"/>
        </w:rPr>
        <w:t>入决算表</w:t>
      </w:r>
      <w:bookmarkEnd w:id="65"/>
    </w:p>
    <w:p>
      <w:pPr>
        <w:pStyle w:val="4"/>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 w:cs="Times New Roman"/>
        </w:rPr>
      </w:pPr>
      <w:bookmarkStart w:id="66" w:name="_Toc15396621"/>
      <w:r>
        <w:rPr>
          <w:rStyle w:val="26"/>
          <w:rFonts w:ascii="Times New Roman" w:hAnsi="仿宋" w:eastAsia="仿宋" w:cs="Times New Roman"/>
          <w:b w:val="0"/>
          <w:bCs w:val="0"/>
        </w:rPr>
        <w:t>三、</w:t>
      </w:r>
      <w:r>
        <w:rPr>
          <w:rFonts w:ascii="Times New Roman" w:hAnsi="仿宋" w:eastAsia="仿宋" w:cs="Times New Roman"/>
          <w:b w:val="0"/>
        </w:rPr>
        <w:t>支</w:t>
      </w:r>
      <w:r>
        <w:rPr>
          <w:rStyle w:val="26"/>
          <w:rFonts w:ascii="Times New Roman" w:hAnsi="仿宋" w:eastAsia="仿宋" w:cs="Times New Roman"/>
          <w:b w:val="0"/>
          <w:bCs w:val="0"/>
        </w:rPr>
        <w:t>出决算表</w:t>
      </w:r>
      <w:bookmarkEnd w:id="66"/>
    </w:p>
    <w:p>
      <w:pPr>
        <w:pStyle w:val="4"/>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 w:cs="Times New Roman"/>
          <w:b w:val="0"/>
        </w:rPr>
      </w:pPr>
      <w:bookmarkStart w:id="67" w:name="_Toc15396622"/>
      <w:r>
        <w:rPr>
          <w:rStyle w:val="26"/>
          <w:rFonts w:ascii="Times New Roman" w:hAnsi="仿宋" w:eastAsia="仿宋" w:cs="Times New Roman"/>
          <w:b w:val="0"/>
          <w:bCs w:val="0"/>
        </w:rPr>
        <w:t>四、</w:t>
      </w:r>
      <w:r>
        <w:rPr>
          <w:rFonts w:ascii="Times New Roman" w:hAnsi="仿宋" w:eastAsia="仿宋" w:cs="Times New Roman"/>
          <w:b w:val="0"/>
        </w:rPr>
        <w:t>财</w:t>
      </w:r>
      <w:r>
        <w:rPr>
          <w:rStyle w:val="26"/>
          <w:rFonts w:ascii="Times New Roman" w:hAnsi="仿宋" w:eastAsia="仿宋" w:cs="Times New Roman"/>
          <w:b w:val="0"/>
          <w:bCs w:val="0"/>
        </w:rPr>
        <w:t>政拨款收入支出决算总表</w:t>
      </w:r>
      <w:bookmarkEnd w:id="67"/>
    </w:p>
    <w:p>
      <w:pPr>
        <w:pStyle w:val="4"/>
        <w:pageBreakBefore w:val="0"/>
        <w:widowControl w:val="0"/>
        <w:kinsoku/>
        <w:wordWrap/>
        <w:overflowPunct/>
        <w:topLinePunct w:val="0"/>
        <w:autoSpaceDE/>
        <w:autoSpaceDN/>
        <w:bidi w:val="0"/>
        <w:adjustRightInd/>
        <w:snapToGrid/>
        <w:ind w:firstLine="640" w:firstLineChars="200"/>
        <w:textAlignment w:val="auto"/>
        <w:rPr>
          <w:rStyle w:val="26"/>
          <w:rFonts w:ascii="Times New Roman" w:hAnsi="Times New Roman" w:eastAsia="仿宋" w:cs="Times New Roman"/>
          <w:b w:val="0"/>
          <w:bCs w:val="0"/>
        </w:rPr>
      </w:pPr>
      <w:bookmarkStart w:id="68" w:name="_Toc15396623"/>
      <w:r>
        <w:rPr>
          <w:rStyle w:val="26"/>
          <w:rFonts w:ascii="Times New Roman" w:hAnsi="仿宋" w:eastAsia="仿宋" w:cs="Times New Roman"/>
          <w:b w:val="0"/>
          <w:bCs w:val="0"/>
        </w:rPr>
        <w:t>五、</w:t>
      </w:r>
      <w:r>
        <w:rPr>
          <w:rFonts w:ascii="Times New Roman" w:hAnsi="仿宋" w:eastAsia="仿宋" w:cs="Times New Roman"/>
          <w:b w:val="0"/>
        </w:rPr>
        <w:t>财</w:t>
      </w:r>
      <w:r>
        <w:rPr>
          <w:rStyle w:val="26"/>
          <w:rFonts w:ascii="Times New Roman" w:hAnsi="仿宋" w:eastAsia="仿宋" w:cs="Times New Roman"/>
          <w:b w:val="0"/>
          <w:bCs w:val="0"/>
        </w:rPr>
        <w:t>政拨款支出决算明细表</w:t>
      </w:r>
      <w:bookmarkEnd w:id="68"/>
      <w:bookmarkStart w:id="69" w:name="_Toc15396624"/>
    </w:p>
    <w:p>
      <w:pPr>
        <w:pStyle w:val="4"/>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 w:cs="Times New Roman"/>
        </w:rPr>
      </w:pPr>
      <w:r>
        <w:rPr>
          <w:rStyle w:val="26"/>
          <w:rFonts w:ascii="Times New Roman" w:hAnsi="仿宋" w:eastAsia="仿宋" w:cs="Times New Roman"/>
          <w:b w:val="0"/>
          <w:bCs w:val="0"/>
        </w:rPr>
        <w:t>六、</w:t>
      </w:r>
      <w:r>
        <w:rPr>
          <w:rFonts w:ascii="Times New Roman" w:hAnsi="仿宋" w:eastAsia="仿宋" w:cs="Times New Roman"/>
          <w:b w:val="0"/>
        </w:rPr>
        <w:t>一</w:t>
      </w:r>
      <w:r>
        <w:rPr>
          <w:rStyle w:val="26"/>
          <w:rFonts w:ascii="Times New Roman" w:hAnsi="仿宋" w:eastAsia="仿宋" w:cs="Times New Roman"/>
          <w:b w:val="0"/>
          <w:bCs w:val="0"/>
        </w:rPr>
        <w:t>般公共预算财政拨款支出决算表</w:t>
      </w:r>
      <w:bookmarkEnd w:id="69"/>
    </w:p>
    <w:p>
      <w:pPr>
        <w:pStyle w:val="4"/>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 w:cs="Times New Roman"/>
        </w:rPr>
      </w:pPr>
      <w:bookmarkStart w:id="70" w:name="_Toc15396625"/>
      <w:r>
        <w:rPr>
          <w:rStyle w:val="26"/>
          <w:rFonts w:ascii="Times New Roman" w:hAnsi="仿宋" w:eastAsia="仿宋" w:cs="Times New Roman"/>
          <w:b w:val="0"/>
          <w:bCs w:val="0"/>
        </w:rPr>
        <w:t>七、</w:t>
      </w:r>
      <w:r>
        <w:rPr>
          <w:rFonts w:ascii="Times New Roman" w:hAnsi="仿宋" w:eastAsia="仿宋" w:cs="Times New Roman"/>
          <w:b w:val="0"/>
        </w:rPr>
        <w:t>一</w:t>
      </w:r>
      <w:r>
        <w:rPr>
          <w:rStyle w:val="26"/>
          <w:rFonts w:ascii="Times New Roman" w:hAnsi="仿宋" w:eastAsia="仿宋" w:cs="Times New Roman"/>
          <w:b w:val="0"/>
          <w:bCs w:val="0"/>
        </w:rPr>
        <w:t>般公共预算财政拨款支出决算明细表</w:t>
      </w:r>
      <w:bookmarkEnd w:id="70"/>
    </w:p>
    <w:p>
      <w:pPr>
        <w:pStyle w:val="4"/>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 w:cs="Times New Roman"/>
        </w:rPr>
      </w:pPr>
      <w:bookmarkStart w:id="71" w:name="_Toc15396626"/>
      <w:r>
        <w:rPr>
          <w:rStyle w:val="26"/>
          <w:rFonts w:ascii="Times New Roman" w:hAnsi="仿宋" w:eastAsia="仿宋" w:cs="Times New Roman"/>
          <w:b w:val="0"/>
          <w:bCs w:val="0"/>
        </w:rPr>
        <w:t>八、</w:t>
      </w:r>
      <w:r>
        <w:rPr>
          <w:rFonts w:ascii="Times New Roman" w:hAnsi="仿宋" w:eastAsia="仿宋" w:cs="Times New Roman"/>
          <w:b w:val="0"/>
        </w:rPr>
        <w:t>一</w:t>
      </w:r>
      <w:r>
        <w:rPr>
          <w:rStyle w:val="26"/>
          <w:rFonts w:ascii="Times New Roman" w:hAnsi="仿宋" w:eastAsia="仿宋" w:cs="Times New Roman"/>
          <w:b w:val="0"/>
          <w:bCs w:val="0"/>
        </w:rPr>
        <w:t>般公共预算财政拨款基本支出决算表</w:t>
      </w:r>
      <w:bookmarkEnd w:id="71"/>
    </w:p>
    <w:p>
      <w:pPr>
        <w:pStyle w:val="4"/>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 w:cs="Times New Roman"/>
        </w:rPr>
      </w:pPr>
      <w:bookmarkStart w:id="72" w:name="_Toc15396627"/>
      <w:r>
        <w:rPr>
          <w:rStyle w:val="26"/>
          <w:rFonts w:ascii="Times New Roman" w:hAnsi="仿宋" w:eastAsia="仿宋" w:cs="Times New Roman"/>
          <w:b w:val="0"/>
          <w:bCs w:val="0"/>
        </w:rPr>
        <w:t>九、</w:t>
      </w:r>
      <w:r>
        <w:rPr>
          <w:rFonts w:ascii="Times New Roman" w:hAnsi="仿宋" w:eastAsia="仿宋" w:cs="Times New Roman"/>
          <w:b w:val="0"/>
        </w:rPr>
        <w:t>一</w:t>
      </w:r>
      <w:r>
        <w:rPr>
          <w:rStyle w:val="26"/>
          <w:rFonts w:ascii="Times New Roman" w:hAnsi="仿宋" w:eastAsia="仿宋" w:cs="Times New Roman"/>
          <w:b w:val="0"/>
          <w:bCs w:val="0"/>
        </w:rPr>
        <w:t>般公共预算财政拨款项目支出决算表</w:t>
      </w:r>
      <w:bookmarkEnd w:id="72"/>
    </w:p>
    <w:p>
      <w:pPr>
        <w:pStyle w:val="4"/>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 w:cs="Times New Roman"/>
        </w:rPr>
      </w:pPr>
      <w:bookmarkStart w:id="73" w:name="_Toc15396628"/>
      <w:r>
        <w:rPr>
          <w:rStyle w:val="26"/>
          <w:rFonts w:ascii="Times New Roman" w:hAnsi="仿宋" w:eastAsia="仿宋" w:cs="Times New Roman"/>
          <w:b w:val="0"/>
          <w:bCs w:val="0"/>
        </w:rPr>
        <w:t>十、</w:t>
      </w:r>
      <w:r>
        <w:rPr>
          <w:rFonts w:ascii="Times New Roman" w:hAnsi="仿宋" w:eastAsia="仿宋" w:cs="Times New Roman"/>
          <w:b w:val="0"/>
        </w:rPr>
        <w:t>一</w:t>
      </w:r>
      <w:r>
        <w:rPr>
          <w:rStyle w:val="26"/>
          <w:rFonts w:ascii="Times New Roman" w:hAnsi="仿宋" w:eastAsia="仿宋" w:cs="Times New Roman"/>
          <w:b w:val="0"/>
          <w:bCs w:val="0"/>
        </w:rPr>
        <w:t>般公共预算财政拨款</w:t>
      </w:r>
      <w:r>
        <w:rPr>
          <w:rStyle w:val="26"/>
          <w:rFonts w:ascii="Times New Roman" w:hAnsi="Times New Roman" w:eastAsia="仿宋" w:cs="Times New Roman"/>
          <w:b w:val="0"/>
          <w:bCs w:val="0"/>
        </w:rPr>
        <w:t>“</w:t>
      </w:r>
      <w:r>
        <w:rPr>
          <w:rStyle w:val="26"/>
          <w:rFonts w:ascii="Times New Roman" w:hAnsi="仿宋" w:eastAsia="仿宋" w:cs="Times New Roman"/>
          <w:b w:val="0"/>
          <w:bCs w:val="0"/>
        </w:rPr>
        <w:t>三公</w:t>
      </w:r>
      <w:r>
        <w:rPr>
          <w:rStyle w:val="26"/>
          <w:rFonts w:ascii="Times New Roman" w:hAnsi="Times New Roman" w:eastAsia="仿宋" w:cs="Times New Roman"/>
          <w:b w:val="0"/>
          <w:bCs w:val="0"/>
        </w:rPr>
        <w:t>”</w:t>
      </w:r>
      <w:r>
        <w:rPr>
          <w:rStyle w:val="26"/>
          <w:rFonts w:ascii="Times New Roman" w:hAnsi="仿宋" w:eastAsia="仿宋" w:cs="Times New Roman"/>
          <w:b w:val="0"/>
          <w:bCs w:val="0"/>
        </w:rPr>
        <w:t>经费支出决算表</w:t>
      </w:r>
      <w:bookmarkEnd w:id="73"/>
    </w:p>
    <w:p>
      <w:pPr>
        <w:pStyle w:val="4"/>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 w:cs="Times New Roman"/>
        </w:rPr>
      </w:pPr>
      <w:bookmarkStart w:id="74" w:name="_Toc15396629"/>
      <w:r>
        <w:rPr>
          <w:rStyle w:val="26"/>
          <w:rFonts w:ascii="Times New Roman" w:hAnsi="仿宋" w:eastAsia="仿宋" w:cs="Times New Roman"/>
          <w:b w:val="0"/>
          <w:bCs w:val="0"/>
        </w:rPr>
        <w:t>十一、</w:t>
      </w:r>
      <w:r>
        <w:rPr>
          <w:rFonts w:ascii="Times New Roman" w:hAnsi="仿宋" w:eastAsia="仿宋" w:cs="Times New Roman"/>
          <w:b w:val="0"/>
        </w:rPr>
        <w:t>政</w:t>
      </w:r>
      <w:r>
        <w:rPr>
          <w:rStyle w:val="26"/>
          <w:rFonts w:ascii="Times New Roman" w:hAnsi="仿宋" w:eastAsia="仿宋" w:cs="Times New Roman"/>
          <w:b w:val="0"/>
          <w:bCs w:val="0"/>
        </w:rPr>
        <w:t>府性基金预算财政拨款收入支出决算表</w:t>
      </w:r>
      <w:bookmarkEnd w:id="74"/>
    </w:p>
    <w:p>
      <w:pPr>
        <w:pStyle w:val="4"/>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 w:cs="Times New Roman"/>
        </w:rPr>
      </w:pPr>
      <w:bookmarkStart w:id="75" w:name="_Toc15396630"/>
      <w:r>
        <w:rPr>
          <w:rStyle w:val="26"/>
          <w:rFonts w:ascii="Times New Roman" w:hAnsi="仿宋" w:eastAsia="仿宋" w:cs="Times New Roman"/>
          <w:b w:val="0"/>
          <w:bCs w:val="0"/>
        </w:rPr>
        <w:t>十二、</w:t>
      </w:r>
      <w:r>
        <w:rPr>
          <w:rFonts w:ascii="Times New Roman" w:hAnsi="仿宋" w:eastAsia="仿宋" w:cs="Times New Roman"/>
          <w:b w:val="0"/>
        </w:rPr>
        <w:t>政</w:t>
      </w:r>
      <w:r>
        <w:rPr>
          <w:rStyle w:val="26"/>
          <w:rFonts w:ascii="Times New Roman" w:hAnsi="仿宋" w:eastAsia="仿宋" w:cs="Times New Roman"/>
          <w:b w:val="0"/>
          <w:bCs w:val="0"/>
        </w:rPr>
        <w:t>府性基金预算财政拨款</w:t>
      </w:r>
      <w:r>
        <w:rPr>
          <w:rStyle w:val="26"/>
          <w:rFonts w:ascii="Times New Roman" w:hAnsi="Times New Roman" w:eastAsia="仿宋" w:cs="Times New Roman"/>
          <w:b w:val="0"/>
          <w:bCs w:val="0"/>
        </w:rPr>
        <w:t>“</w:t>
      </w:r>
      <w:r>
        <w:rPr>
          <w:rStyle w:val="26"/>
          <w:rFonts w:ascii="Times New Roman" w:hAnsi="仿宋" w:eastAsia="仿宋" w:cs="Times New Roman"/>
          <w:b w:val="0"/>
          <w:bCs w:val="0"/>
        </w:rPr>
        <w:t>三公</w:t>
      </w:r>
      <w:r>
        <w:rPr>
          <w:rStyle w:val="26"/>
          <w:rFonts w:ascii="Times New Roman" w:hAnsi="Times New Roman" w:eastAsia="仿宋" w:cs="Times New Roman"/>
          <w:b w:val="0"/>
          <w:bCs w:val="0"/>
        </w:rPr>
        <w:t>”</w:t>
      </w:r>
      <w:r>
        <w:rPr>
          <w:rStyle w:val="26"/>
          <w:rFonts w:ascii="Times New Roman" w:hAnsi="仿宋" w:eastAsia="仿宋" w:cs="Times New Roman"/>
          <w:b w:val="0"/>
          <w:bCs w:val="0"/>
        </w:rPr>
        <w:t>经费支出决算表</w:t>
      </w:r>
      <w:bookmarkEnd w:id="75"/>
    </w:p>
    <w:p>
      <w:pPr>
        <w:pStyle w:val="4"/>
        <w:pageBreakBefore w:val="0"/>
        <w:widowControl w:val="0"/>
        <w:kinsoku/>
        <w:wordWrap/>
        <w:overflowPunct/>
        <w:topLinePunct w:val="0"/>
        <w:autoSpaceDE/>
        <w:autoSpaceDN/>
        <w:bidi w:val="0"/>
        <w:adjustRightInd/>
        <w:snapToGrid/>
        <w:ind w:firstLine="640" w:firstLineChars="200"/>
        <w:textAlignment w:val="auto"/>
        <w:rPr>
          <w:rStyle w:val="26"/>
          <w:rFonts w:ascii="Times New Roman" w:hAnsi="Times New Roman" w:eastAsia="仿宋" w:cs="Times New Roman"/>
          <w:b w:val="0"/>
          <w:bCs w:val="0"/>
        </w:rPr>
      </w:pPr>
      <w:bookmarkStart w:id="76" w:name="_Toc15396631"/>
      <w:r>
        <w:rPr>
          <w:rStyle w:val="26"/>
          <w:rFonts w:ascii="Times New Roman" w:hAnsi="仿宋" w:eastAsia="仿宋" w:cs="Times New Roman"/>
          <w:b w:val="0"/>
          <w:bCs w:val="0"/>
        </w:rPr>
        <w:t>十三、</w:t>
      </w:r>
      <w:r>
        <w:rPr>
          <w:rFonts w:ascii="Times New Roman" w:hAnsi="仿宋" w:eastAsia="仿宋" w:cs="Times New Roman"/>
          <w:b w:val="0"/>
        </w:rPr>
        <w:t>国</w:t>
      </w:r>
      <w:r>
        <w:rPr>
          <w:rStyle w:val="26"/>
          <w:rFonts w:ascii="Times New Roman" w:hAnsi="仿宋" w:eastAsia="仿宋" w:cs="Times New Roman"/>
          <w:b w:val="0"/>
          <w:bCs w:val="0"/>
        </w:rPr>
        <w:t>有资本经营预算财政拨款收入支出决算表</w:t>
      </w:r>
      <w:bookmarkEnd w:id="76"/>
    </w:p>
    <w:p>
      <w:pPr>
        <w:pageBreakBefore w:val="0"/>
        <w:widowControl w:val="0"/>
        <w:kinsoku/>
        <w:wordWrap/>
        <w:overflowPunct/>
        <w:topLinePunct w:val="0"/>
        <w:autoSpaceDE/>
        <w:autoSpaceDN/>
        <w:bidi w:val="0"/>
        <w:adjustRightInd/>
        <w:snapToGrid/>
        <w:ind w:firstLine="640" w:firstLineChars="200"/>
        <w:textAlignment w:val="auto"/>
        <w:rPr>
          <w:rFonts w:eastAsia="仿宋"/>
        </w:rPr>
      </w:pPr>
      <w:r>
        <w:rPr>
          <w:rStyle w:val="26"/>
          <w:rFonts w:ascii="Times New Roman" w:hAnsi="仿宋" w:eastAsia="仿宋" w:cs="Times New Roman"/>
          <w:b w:val="0"/>
          <w:bCs w:val="0"/>
        </w:rPr>
        <w:t>十四、国有资本经营预算财政拨款支出决算表</w:t>
      </w:r>
    </w:p>
    <w:sectPr>
      <w:headerReference r:id="rId3" w:type="default"/>
      <w:footerReference r:id="rId4" w:type="default"/>
      <w:pgSz w:w="11906" w:h="16838"/>
      <w:pgMar w:top="2098" w:right="1474" w:bottom="1984" w:left="1587" w:header="851" w:footer="992" w:gutter="0"/>
      <w:pgNumType w:start="1"/>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32</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E794925"/>
    <w:multiLevelType w:val="singleLevel"/>
    <w:tmpl w:val="3E794925"/>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0"/>
  <w:bordersDoNotSurroundFooter w:val="0"/>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zg4OWMyZmIzNzk5NWJjYzRhNmFiM2QyYmQ3NDMifQ=="/>
  </w:docVars>
  <w:rsids>
    <w:rsidRoot w:val="00F1361C"/>
    <w:rsid w:val="000056C3"/>
    <w:rsid w:val="0001146C"/>
    <w:rsid w:val="000222C6"/>
    <w:rsid w:val="0002549F"/>
    <w:rsid w:val="00025EA4"/>
    <w:rsid w:val="000310C4"/>
    <w:rsid w:val="00046621"/>
    <w:rsid w:val="000468DB"/>
    <w:rsid w:val="00052CA6"/>
    <w:rsid w:val="0006487A"/>
    <w:rsid w:val="00065F8F"/>
    <w:rsid w:val="000672A0"/>
    <w:rsid w:val="00070A43"/>
    <w:rsid w:val="00074C66"/>
    <w:rsid w:val="000768F2"/>
    <w:rsid w:val="00076956"/>
    <w:rsid w:val="0009184B"/>
    <w:rsid w:val="00094236"/>
    <w:rsid w:val="0009593C"/>
    <w:rsid w:val="00097322"/>
    <w:rsid w:val="000A5018"/>
    <w:rsid w:val="000A6A92"/>
    <w:rsid w:val="000B047F"/>
    <w:rsid w:val="000B5923"/>
    <w:rsid w:val="000B5A48"/>
    <w:rsid w:val="000B6FF3"/>
    <w:rsid w:val="000C3467"/>
    <w:rsid w:val="000C3CA6"/>
    <w:rsid w:val="000D1267"/>
    <w:rsid w:val="000D1D50"/>
    <w:rsid w:val="000D5782"/>
    <w:rsid w:val="000D653A"/>
    <w:rsid w:val="000E6613"/>
    <w:rsid w:val="000E7119"/>
    <w:rsid w:val="000F2462"/>
    <w:rsid w:val="00114E9B"/>
    <w:rsid w:val="00142216"/>
    <w:rsid w:val="00144D6A"/>
    <w:rsid w:val="0014729F"/>
    <w:rsid w:val="00157BAB"/>
    <w:rsid w:val="001654D1"/>
    <w:rsid w:val="00174518"/>
    <w:rsid w:val="0018106D"/>
    <w:rsid w:val="001877A7"/>
    <w:rsid w:val="00191536"/>
    <w:rsid w:val="00196687"/>
    <w:rsid w:val="001A1964"/>
    <w:rsid w:val="001A45FD"/>
    <w:rsid w:val="001A6380"/>
    <w:rsid w:val="001C0962"/>
    <w:rsid w:val="001D1D2E"/>
    <w:rsid w:val="001D7531"/>
    <w:rsid w:val="001E184D"/>
    <w:rsid w:val="001E737D"/>
    <w:rsid w:val="001F0592"/>
    <w:rsid w:val="001F40DC"/>
    <w:rsid w:val="001F7506"/>
    <w:rsid w:val="002006CD"/>
    <w:rsid w:val="00202B36"/>
    <w:rsid w:val="00204B7A"/>
    <w:rsid w:val="00204CDE"/>
    <w:rsid w:val="00210D7A"/>
    <w:rsid w:val="0021101A"/>
    <w:rsid w:val="00213A34"/>
    <w:rsid w:val="00220536"/>
    <w:rsid w:val="00223806"/>
    <w:rsid w:val="00235629"/>
    <w:rsid w:val="00260C38"/>
    <w:rsid w:val="002616C0"/>
    <w:rsid w:val="00265372"/>
    <w:rsid w:val="002662AA"/>
    <w:rsid w:val="00280496"/>
    <w:rsid w:val="00294DC9"/>
    <w:rsid w:val="00295495"/>
    <w:rsid w:val="002A31DE"/>
    <w:rsid w:val="002A41C8"/>
    <w:rsid w:val="002B2613"/>
    <w:rsid w:val="002D5594"/>
    <w:rsid w:val="002D6D05"/>
    <w:rsid w:val="002F1818"/>
    <w:rsid w:val="002F567B"/>
    <w:rsid w:val="002F7706"/>
    <w:rsid w:val="003216A9"/>
    <w:rsid w:val="00335A74"/>
    <w:rsid w:val="003363A9"/>
    <w:rsid w:val="0036561B"/>
    <w:rsid w:val="0037013F"/>
    <w:rsid w:val="00380C92"/>
    <w:rsid w:val="003A484F"/>
    <w:rsid w:val="003A4883"/>
    <w:rsid w:val="003A6C8C"/>
    <w:rsid w:val="003B0BE0"/>
    <w:rsid w:val="003B0C1B"/>
    <w:rsid w:val="003B688C"/>
    <w:rsid w:val="003C0291"/>
    <w:rsid w:val="003C39AE"/>
    <w:rsid w:val="003C7B60"/>
    <w:rsid w:val="003D0C0F"/>
    <w:rsid w:val="003D1FB2"/>
    <w:rsid w:val="003D66DA"/>
    <w:rsid w:val="003E0F96"/>
    <w:rsid w:val="003E1310"/>
    <w:rsid w:val="003E39B4"/>
    <w:rsid w:val="003E6F55"/>
    <w:rsid w:val="00406254"/>
    <w:rsid w:val="004223DE"/>
    <w:rsid w:val="00434489"/>
    <w:rsid w:val="00437085"/>
    <w:rsid w:val="00443880"/>
    <w:rsid w:val="004464F4"/>
    <w:rsid w:val="004613B5"/>
    <w:rsid w:val="00461BDC"/>
    <w:rsid w:val="00462021"/>
    <w:rsid w:val="00471401"/>
    <w:rsid w:val="00473F31"/>
    <w:rsid w:val="0048263A"/>
    <w:rsid w:val="00487E5D"/>
    <w:rsid w:val="00495BA9"/>
    <w:rsid w:val="004A711F"/>
    <w:rsid w:val="004B15FE"/>
    <w:rsid w:val="004B199D"/>
    <w:rsid w:val="004B38E7"/>
    <w:rsid w:val="004B4690"/>
    <w:rsid w:val="004C49F2"/>
    <w:rsid w:val="004D1A23"/>
    <w:rsid w:val="004D3BD6"/>
    <w:rsid w:val="004E0A2D"/>
    <w:rsid w:val="004E206B"/>
    <w:rsid w:val="004E6DF7"/>
    <w:rsid w:val="004F0FBD"/>
    <w:rsid w:val="004F4249"/>
    <w:rsid w:val="005039D0"/>
    <w:rsid w:val="00505A47"/>
    <w:rsid w:val="00512FDA"/>
    <w:rsid w:val="00516E29"/>
    <w:rsid w:val="00520DA0"/>
    <w:rsid w:val="00537DA9"/>
    <w:rsid w:val="00542E29"/>
    <w:rsid w:val="005664BB"/>
    <w:rsid w:val="00566FFA"/>
    <w:rsid w:val="0057481D"/>
    <w:rsid w:val="0058486E"/>
    <w:rsid w:val="00585B33"/>
    <w:rsid w:val="0059014D"/>
    <w:rsid w:val="005B5C64"/>
    <w:rsid w:val="005C5337"/>
    <w:rsid w:val="005C5537"/>
    <w:rsid w:val="005C6BD0"/>
    <w:rsid w:val="005D1C8B"/>
    <w:rsid w:val="005D468D"/>
    <w:rsid w:val="005D5CED"/>
    <w:rsid w:val="005F1A4C"/>
    <w:rsid w:val="00605681"/>
    <w:rsid w:val="00605688"/>
    <w:rsid w:val="006070AF"/>
    <w:rsid w:val="00607E6C"/>
    <w:rsid w:val="006101B1"/>
    <w:rsid w:val="00614E44"/>
    <w:rsid w:val="0062270A"/>
    <w:rsid w:val="00622830"/>
    <w:rsid w:val="00623DA0"/>
    <w:rsid w:val="006277DD"/>
    <w:rsid w:val="00630AEF"/>
    <w:rsid w:val="006325F8"/>
    <w:rsid w:val="00633463"/>
    <w:rsid w:val="00633ED5"/>
    <w:rsid w:val="00634C9A"/>
    <w:rsid w:val="0064362C"/>
    <w:rsid w:val="006440E4"/>
    <w:rsid w:val="006574E6"/>
    <w:rsid w:val="006620A9"/>
    <w:rsid w:val="0066343B"/>
    <w:rsid w:val="00664777"/>
    <w:rsid w:val="00671F6B"/>
    <w:rsid w:val="006748A4"/>
    <w:rsid w:val="00681A31"/>
    <w:rsid w:val="00683E73"/>
    <w:rsid w:val="0068568B"/>
    <w:rsid w:val="006963FA"/>
    <w:rsid w:val="006A1EE8"/>
    <w:rsid w:val="006A3141"/>
    <w:rsid w:val="006A42A0"/>
    <w:rsid w:val="006A5E34"/>
    <w:rsid w:val="006A5E95"/>
    <w:rsid w:val="006B2422"/>
    <w:rsid w:val="006B2B9A"/>
    <w:rsid w:val="006C1937"/>
    <w:rsid w:val="006C1EB1"/>
    <w:rsid w:val="006D3EBF"/>
    <w:rsid w:val="006F020C"/>
    <w:rsid w:val="007127B7"/>
    <w:rsid w:val="0071798E"/>
    <w:rsid w:val="007416B6"/>
    <w:rsid w:val="00746F48"/>
    <w:rsid w:val="0075404D"/>
    <w:rsid w:val="0076182A"/>
    <w:rsid w:val="00766F6F"/>
    <w:rsid w:val="00767B7E"/>
    <w:rsid w:val="00776650"/>
    <w:rsid w:val="007770C3"/>
    <w:rsid w:val="00784D24"/>
    <w:rsid w:val="00785FBA"/>
    <w:rsid w:val="00786E4A"/>
    <w:rsid w:val="007875EB"/>
    <w:rsid w:val="00793373"/>
    <w:rsid w:val="0079426B"/>
    <w:rsid w:val="007A43A5"/>
    <w:rsid w:val="007A5B59"/>
    <w:rsid w:val="007C091D"/>
    <w:rsid w:val="007D1682"/>
    <w:rsid w:val="007D312A"/>
    <w:rsid w:val="007D3F19"/>
    <w:rsid w:val="007E04C1"/>
    <w:rsid w:val="007E23B0"/>
    <w:rsid w:val="007E23E5"/>
    <w:rsid w:val="007E39F5"/>
    <w:rsid w:val="007F0F13"/>
    <w:rsid w:val="007F1991"/>
    <w:rsid w:val="007F2C2F"/>
    <w:rsid w:val="007F55FC"/>
    <w:rsid w:val="007F5665"/>
    <w:rsid w:val="00800112"/>
    <w:rsid w:val="00810CBC"/>
    <w:rsid w:val="00813348"/>
    <w:rsid w:val="008253BB"/>
    <w:rsid w:val="0083706E"/>
    <w:rsid w:val="008408F6"/>
    <w:rsid w:val="008423A5"/>
    <w:rsid w:val="00850625"/>
    <w:rsid w:val="00853718"/>
    <w:rsid w:val="00855221"/>
    <w:rsid w:val="00860645"/>
    <w:rsid w:val="00871F71"/>
    <w:rsid w:val="00872FD8"/>
    <w:rsid w:val="008755BB"/>
    <w:rsid w:val="00877D1F"/>
    <w:rsid w:val="00885AF4"/>
    <w:rsid w:val="008939CD"/>
    <w:rsid w:val="008977DF"/>
    <w:rsid w:val="008B768C"/>
    <w:rsid w:val="008C0C83"/>
    <w:rsid w:val="008C4DB1"/>
    <w:rsid w:val="008C4EAF"/>
    <w:rsid w:val="008C5176"/>
    <w:rsid w:val="008C7FD0"/>
    <w:rsid w:val="008D53E7"/>
    <w:rsid w:val="008E1DE7"/>
    <w:rsid w:val="008E707C"/>
    <w:rsid w:val="008F658B"/>
    <w:rsid w:val="008F6856"/>
    <w:rsid w:val="00900009"/>
    <w:rsid w:val="00900B08"/>
    <w:rsid w:val="00902155"/>
    <w:rsid w:val="00902FA3"/>
    <w:rsid w:val="009077B7"/>
    <w:rsid w:val="009123D0"/>
    <w:rsid w:val="00923564"/>
    <w:rsid w:val="0092392E"/>
    <w:rsid w:val="009315F9"/>
    <w:rsid w:val="00933499"/>
    <w:rsid w:val="00935C98"/>
    <w:rsid w:val="00941AB9"/>
    <w:rsid w:val="0094608E"/>
    <w:rsid w:val="00946945"/>
    <w:rsid w:val="00951248"/>
    <w:rsid w:val="0095152F"/>
    <w:rsid w:val="00954C49"/>
    <w:rsid w:val="00955E37"/>
    <w:rsid w:val="0097099F"/>
    <w:rsid w:val="00971997"/>
    <w:rsid w:val="00971FFC"/>
    <w:rsid w:val="0098145D"/>
    <w:rsid w:val="0098660A"/>
    <w:rsid w:val="009931C3"/>
    <w:rsid w:val="009B1102"/>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59BE"/>
    <w:rsid w:val="00A16847"/>
    <w:rsid w:val="00A237D8"/>
    <w:rsid w:val="00A268C4"/>
    <w:rsid w:val="00A307CD"/>
    <w:rsid w:val="00A31D66"/>
    <w:rsid w:val="00A331C8"/>
    <w:rsid w:val="00A352C2"/>
    <w:rsid w:val="00A40A00"/>
    <w:rsid w:val="00A4142F"/>
    <w:rsid w:val="00A422EB"/>
    <w:rsid w:val="00A45BB7"/>
    <w:rsid w:val="00A56DF2"/>
    <w:rsid w:val="00A56E6E"/>
    <w:rsid w:val="00A6129E"/>
    <w:rsid w:val="00A67AB5"/>
    <w:rsid w:val="00A733B2"/>
    <w:rsid w:val="00A741C2"/>
    <w:rsid w:val="00A91760"/>
    <w:rsid w:val="00A93B00"/>
    <w:rsid w:val="00A93C21"/>
    <w:rsid w:val="00AB64C9"/>
    <w:rsid w:val="00AC3C6A"/>
    <w:rsid w:val="00AD5620"/>
    <w:rsid w:val="00AD656B"/>
    <w:rsid w:val="00AD7C1B"/>
    <w:rsid w:val="00AE16BA"/>
    <w:rsid w:val="00AE1EBE"/>
    <w:rsid w:val="00AE61A8"/>
    <w:rsid w:val="00AF129A"/>
    <w:rsid w:val="00B007C6"/>
    <w:rsid w:val="00B03C9D"/>
    <w:rsid w:val="00B060AE"/>
    <w:rsid w:val="00B10517"/>
    <w:rsid w:val="00B140C5"/>
    <w:rsid w:val="00B14E76"/>
    <w:rsid w:val="00B161B8"/>
    <w:rsid w:val="00B2048C"/>
    <w:rsid w:val="00B310B9"/>
    <w:rsid w:val="00B35F3F"/>
    <w:rsid w:val="00B36CBB"/>
    <w:rsid w:val="00B40F0F"/>
    <w:rsid w:val="00B425E0"/>
    <w:rsid w:val="00B440AA"/>
    <w:rsid w:val="00B44B70"/>
    <w:rsid w:val="00B51B6D"/>
    <w:rsid w:val="00B53C56"/>
    <w:rsid w:val="00B57DAF"/>
    <w:rsid w:val="00B7740E"/>
    <w:rsid w:val="00B77EA6"/>
    <w:rsid w:val="00B81598"/>
    <w:rsid w:val="00B841F1"/>
    <w:rsid w:val="00B944D6"/>
    <w:rsid w:val="00BA60E4"/>
    <w:rsid w:val="00BB1591"/>
    <w:rsid w:val="00BB4DF0"/>
    <w:rsid w:val="00BC289F"/>
    <w:rsid w:val="00BC2D50"/>
    <w:rsid w:val="00BC5361"/>
    <w:rsid w:val="00BC5460"/>
    <w:rsid w:val="00BC6B50"/>
    <w:rsid w:val="00BD0E25"/>
    <w:rsid w:val="00BE6F0F"/>
    <w:rsid w:val="00BF5BD6"/>
    <w:rsid w:val="00C03E31"/>
    <w:rsid w:val="00C116CE"/>
    <w:rsid w:val="00C14ABE"/>
    <w:rsid w:val="00C243AA"/>
    <w:rsid w:val="00C33E72"/>
    <w:rsid w:val="00C354B2"/>
    <w:rsid w:val="00C35554"/>
    <w:rsid w:val="00C42709"/>
    <w:rsid w:val="00C42C88"/>
    <w:rsid w:val="00C533CC"/>
    <w:rsid w:val="00C53C6D"/>
    <w:rsid w:val="00C5751C"/>
    <w:rsid w:val="00C61BFC"/>
    <w:rsid w:val="00C62B85"/>
    <w:rsid w:val="00C65438"/>
    <w:rsid w:val="00C87FD8"/>
    <w:rsid w:val="00C91381"/>
    <w:rsid w:val="00C91CBB"/>
    <w:rsid w:val="00CA5B16"/>
    <w:rsid w:val="00CB4E70"/>
    <w:rsid w:val="00CC09B6"/>
    <w:rsid w:val="00CC666F"/>
    <w:rsid w:val="00CD1E3F"/>
    <w:rsid w:val="00CE0B8B"/>
    <w:rsid w:val="00CE1026"/>
    <w:rsid w:val="00CE44F6"/>
    <w:rsid w:val="00CE49DA"/>
    <w:rsid w:val="00CE7B61"/>
    <w:rsid w:val="00CF34E8"/>
    <w:rsid w:val="00D00095"/>
    <w:rsid w:val="00D026A4"/>
    <w:rsid w:val="00D114F0"/>
    <w:rsid w:val="00D20620"/>
    <w:rsid w:val="00D254F7"/>
    <w:rsid w:val="00D26091"/>
    <w:rsid w:val="00D2685C"/>
    <w:rsid w:val="00D3060E"/>
    <w:rsid w:val="00D34E7C"/>
    <w:rsid w:val="00D35489"/>
    <w:rsid w:val="00D3598E"/>
    <w:rsid w:val="00D36AFE"/>
    <w:rsid w:val="00D51276"/>
    <w:rsid w:val="00D65182"/>
    <w:rsid w:val="00D7035F"/>
    <w:rsid w:val="00D83185"/>
    <w:rsid w:val="00D9733A"/>
    <w:rsid w:val="00DA634F"/>
    <w:rsid w:val="00DA65AC"/>
    <w:rsid w:val="00DB1913"/>
    <w:rsid w:val="00DC410D"/>
    <w:rsid w:val="00DC5A81"/>
    <w:rsid w:val="00DC68CA"/>
    <w:rsid w:val="00DC7CBA"/>
    <w:rsid w:val="00DD73B7"/>
    <w:rsid w:val="00DE6853"/>
    <w:rsid w:val="00DF15DF"/>
    <w:rsid w:val="00DF1647"/>
    <w:rsid w:val="00DF28BC"/>
    <w:rsid w:val="00DF34B9"/>
    <w:rsid w:val="00E01053"/>
    <w:rsid w:val="00E07ACF"/>
    <w:rsid w:val="00E16046"/>
    <w:rsid w:val="00E3164C"/>
    <w:rsid w:val="00E331A1"/>
    <w:rsid w:val="00E33202"/>
    <w:rsid w:val="00E336A9"/>
    <w:rsid w:val="00E472B1"/>
    <w:rsid w:val="00E50624"/>
    <w:rsid w:val="00E5110E"/>
    <w:rsid w:val="00E568DF"/>
    <w:rsid w:val="00E61097"/>
    <w:rsid w:val="00E64269"/>
    <w:rsid w:val="00E714F9"/>
    <w:rsid w:val="00E82267"/>
    <w:rsid w:val="00E853CE"/>
    <w:rsid w:val="00E867B6"/>
    <w:rsid w:val="00EA010F"/>
    <w:rsid w:val="00EA2658"/>
    <w:rsid w:val="00EC1F3A"/>
    <w:rsid w:val="00ED1B63"/>
    <w:rsid w:val="00ED3C1F"/>
    <w:rsid w:val="00ED4085"/>
    <w:rsid w:val="00ED420E"/>
    <w:rsid w:val="00ED6FBE"/>
    <w:rsid w:val="00EE05A8"/>
    <w:rsid w:val="00EE2F57"/>
    <w:rsid w:val="00EE589B"/>
    <w:rsid w:val="00EF4C34"/>
    <w:rsid w:val="00EF77C6"/>
    <w:rsid w:val="00F05438"/>
    <w:rsid w:val="00F07C93"/>
    <w:rsid w:val="00F1361C"/>
    <w:rsid w:val="00F156F0"/>
    <w:rsid w:val="00F160C7"/>
    <w:rsid w:val="00F1709F"/>
    <w:rsid w:val="00F2408F"/>
    <w:rsid w:val="00F240E9"/>
    <w:rsid w:val="00F2578B"/>
    <w:rsid w:val="00F36D8F"/>
    <w:rsid w:val="00F417B1"/>
    <w:rsid w:val="00F45853"/>
    <w:rsid w:val="00F602DF"/>
    <w:rsid w:val="00F66A64"/>
    <w:rsid w:val="00F72AA8"/>
    <w:rsid w:val="00F754A1"/>
    <w:rsid w:val="00F81FD9"/>
    <w:rsid w:val="00F841AA"/>
    <w:rsid w:val="00F84A94"/>
    <w:rsid w:val="00F87390"/>
    <w:rsid w:val="00F87E96"/>
    <w:rsid w:val="00FA23E8"/>
    <w:rsid w:val="00FC6CEF"/>
    <w:rsid w:val="00FC7967"/>
    <w:rsid w:val="00FD3CC1"/>
    <w:rsid w:val="00FF1E02"/>
    <w:rsid w:val="00FF30B4"/>
    <w:rsid w:val="066E0107"/>
    <w:rsid w:val="071A3109"/>
    <w:rsid w:val="07996F6E"/>
    <w:rsid w:val="084168C6"/>
    <w:rsid w:val="0A2032A3"/>
    <w:rsid w:val="101860EC"/>
    <w:rsid w:val="10C055FF"/>
    <w:rsid w:val="118107EC"/>
    <w:rsid w:val="12D676EB"/>
    <w:rsid w:val="13D50BC4"/>
    <w:rsid w:val="16BB723D"/>
    <w:rsid w:val="1BE8440E"/>
    <w:rsid w:val="1D155CEE"/>
    <w:rsid w:val="23860B96"/>
    <w:rsid w:val="240371BF"/>
    <w:rsid w:val="29FD04D3"/>
    <w:rsid w:val="2C8A61B5"/>
    <w:rsid w:val="2DF04E50"/>
    <w:rsid w:val="319F7F4E"/>
    <w:rsid w:val="33C04772"/>
    <w:rsid w:val="35166118"/>
    <w:rsid w:val="36AA5135"/>
    <w:rsid w:val="37E16F03"/>
    <w:rsid w:val="3D98207C"/>
    <w:rsid w:val="41035BB7"/>
    <w:rsid w:val="44E268DA"/>
    <w:rsid w:val="4A627F82"/>
    <w:rsid w:val="4B4F25DA"/>
    <w:rsid w:val="4BE068DB"/>
    <w:rsid w:val="4D577224"/>
    <w:rsid w:val="4EAB630A"/>
    <w:rsid w:val="4ECE2238"/>
    <w:rsid w:val="5AF92295"/>
    <w:rsid w:val="5CD71FC4"/>
    <w:rsid w:val="65A11E3E"/>
    <w:rsid w:val="6C4A05C8"/>
    <w:rsid w:val="6E7E3605"/>
    <w:rsid w:val="6FF5CC65"/>
    <w:rsid w:val="715C0E4B"/>
    <w:rsid w:val="72734D90"/>
    <w:rsid w:val="73AD73D5"/>
    <w:rsid w:val="73B6EB34"/>
    <w:rsid w:val="769E1EBB"/>
    <w:rsid w:val="79EE5BA4"/>
    <w:rsid w:val="7A89433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2"/>
    <w:qFormat/>
    <w:uiPriority w:val="0"/>
    <w:rPr>
      <w:rFonts w:ascii="宋体" w:hAnsi="Courier New"/>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NormalCharacter"/>
    <w:semiHidden/>
    <w:qFormat/>
    <w:uiPriority w:val="99"/>
  </w:style>
  <w:style w:type="character" w:customStyle="1" w:styleId="32">
    <w:name w:val="纯文本 Char"/>
    <w:basedOn w:val="14"/>
    <w:link w:val="7"/>
    <w:qFormat/>
    <w:uiPriority w:val="0"/>
    <w:rPr>
      <w:rFonts w:ascii="宋体" w:hAnsi="Courier New"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收支总决算</c:v>
                </c:pt>
              </c:strCache>
            </c:strRef>
          </c:tx>
          <c:invertIfNegative val="0"/>
          <c:dLbls>
            <c:delete val="1"/>
          </c:dLbls>
          <c:cat>
            <c:strRef>
              <c:f>Sheet1!$A$2:$A$3</c:f>
              <c:strCache>
                <c:ptCount val="2"/>
                <c:pt idx="0">
                  <c:v>2020年</c:v>
                </c:pt>
                <c:pt idx="1">
                  <c:v>2021年</c:v>
                </c:pt>
              </c:strCache>
            </c:strRef>
          </c:cat>
          <c:val>
            <c:numRef>
              <c:f>Sheet1!$B$2:$B$3</c:f>
              <c:numCache>
                <c:formatCode>General</c:formatCode>
                <c:ptCount val="2"/>
                <c:pt idx="0">
                  <c:v>740.93</c:v>
                </c:pt>
                <c:pt idx="1">
                  <c:v>624</c:v>
                </c:pt>
              </c:numCache>
            </c:numRef>
          </c:val>
        </c:ser>
        <c:dLbls>
          <c:showLegendKey val="0"/>
          <c:showVal val="0"/>
          <c:showCatName val="0"/>
          <c:showSerName val="0"/>
          <c:showPercent val="0"/>
          <c:showBubbleSize val="0"/>
        </c:dLbls>
        <c:gapWidth val="150"/>
        <c:overlap val="100"/>
        <c:axId val="168306944"/>
        <c:axId val="168327040"/>
      </c:barChart>
      <c:catAx>
        <c:axId val="16830694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327040"/>
        <c:crosses val="autoZero"/>
        <c:auto val="1"/>
        <c:lblAlgn val="ctr"/>
        <c:lblOffset val="100"/>
        <c:noMultiLvlLbl val="0"/>
      </c:catAx>
      <c:valAx>
        <c:axId val="1683270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830694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2021</a:t>
            </a:r>
            <a:r>
              <a:rPr lang="zh-CN" altLang="en-US"/>
              <a:t>年度收入决算数</a:t>
            </a:r>
            <a:endParaRPr lang="zh-CN" altLang="en-US"/>
          </a:p>
        </c:rich>
      </c:tx>
      <c:layout/>
      <c:overlay val="0"/>
    </c:title>
    <c:autoTitleDeleted val="0"/>
    <c:plotArea>
      <c:layout/>
      <c:pieChart>
        <c:varyColors val="1"/>
        <c:ser>
          <c:idx val="0"/>
          <c:order val="0"/>
          <c:tx>
            <c:strRef>
              <c:f>Sheet1!$B$1</c:f>
              <c:strCache>
                <c:ptCount val="1"/>
                <c:pt idx="0">
                  <c:v>销售额</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政府性基金预算财政拨款</c:v>
                </c:pt>
              </c:strCache>
            </c:strRef>
          </c:cat>
          <c:val>
            <c:numRef>
              <c:f>Sheet1!$B$2:$B$3</c:f>
              <c:numCache>
                <c:formatCode>General</c:formatCode>
                <c:ptCount val="2"/>
                <c:pt idx="0">
                  <c:v>616.780000000001</c:v>
                </c:pt>
                <c:pt idx="1">
                  <c:v>1.08</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支出分类</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537.949999999999</c:v>
                </c:pt>
                <c:pt idx="1">
                  <c:v>86.05</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财政拨款收、支决算</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2"/>
                <c:pt idx="0">
                  <c:v>2020年</c:v>
                </c:pt>
                <c:pt idx="1">
                  <c:v>2021年</c:v>
                </c:pt>
              </c:strCache>
            </c:strRef>
          </c:cat>
          <c:val>
            <c:numRef>
              <c:f>Sheet1!$B$2:$B$5</c:f>
              <c:numCache>
                <c:formatCode>General</c:formatCode>
                <c:ptCount val="4"/>
                <c:pt idx="0">
                  <c:v>740.89</c:v>
                </c:pt>
                <c:pt idx="1">
                  <c:v>624</c:v>
                </c:pt>
              </c:numCache>
            </c:numRef>
          </c:val>
        </c:ser>
        <c:dLbls>
          <c:showLegendKey val="0"/>
          <c:showVal val="1"/>
          <c:showCatName val="0"/>
          <c:showSerName val="0"/>
          <c:showPercent val="0"/>
          <c:showBubbleSize val="0"/>
        </c:dLbls>
        <c:gapWidth val="150"/>
        <c:overlap val="100"/>
        <c:axId val="188596224"/>
        <c:axId val="188597760"/>
      </c:barChart>
      <c:catAx>
        <c:axId val="18859622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8597760"/>
        <c:crosses val="autoZero"/>
        <c:auto val="1"/>
        <c:lblAlgn val="ctr"/>
        <c:lblOffset val="100"/>
        <c:noMultiLvlLbl val="0"/>
      </c:catAx>
      <c:valAx>
        <c:axId val="1885977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859622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a:t>一般公共预算财政拨款支出决算变动情况</a:t>
            </a:r>
            <a:endParaRPr lang="zh-CN" altLang="en-US" sz="1400"/>
          </a:p>
        </c:rich>
      </c:tx>
      <c:layout/>
      <c:overlay val="0"/>
    </c:title>
    <c:autoTitleDeleted val="0"/>
    <c:plotArea>
      <c:layout/>
      <c:barChart>
        <c:barDir val="col"/>
        <c:grouping val="stacked"/>
        <c:varyColors val="0"/>
        <c:ser>
          <c:idx val="0"/>
          <c:order val="0"/>
          <c:tx>
            <c:strRef>
              <c:f>Sheet1!$B$1</c:f>
              <c:strCache>
                <c:ptCount val="1"/>
                <c:pt idx="0">
                  <c:v>一般公共预算财政拨款支出决算变动情况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2"/>
                <c:pt idx="0">
                  <c:v>2020年</c:v>
                </c:pt>
                <c:pt idx="1">
                  <c:v>2021年</c:v>
                </c:pt>
              </c:strCache>
            </c:strRef>
          </c:cat>
          <c:val>
            <c:numRef>
              <c:f>Sheet1!$B$2:$B$5</c:f>
              <c:numCache>
                <c:formatCode>General</c:formatCode>
                <c:ptCount val="4"/>
                <c:pt idx="0">
                  <c:v>720.62</c:v>
                </c:pt>
                <c:pt idx="1">
                  <c:v>622.92</c:v>
                </c:pt>
              </c:numCache>
            </c:numRef>
          </c:val>
        </c:ser>
        <c:dLbls>
          <c:showLegendKey val="0"/>
          <c:showVal val="1"/>
          <c:showCatName val="0"/>
          <c:showSerName val="0"/>
          <c:showPercent val="0"/>
          <c:showBubbleSize val="0"/>
        </c:dLbls>
        <c:gapWidth val="150"/>
        <c:overlap val="100"/>
        <c:axId val="188556416"/>
        <c:axId val="188557952"/>
      </c:barChart>
      <c:catAx>
        <c:axId val="18855641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8557952"/>
        <c:crosses val="autoZero"/>
        <c:auto val="1"/>
        <c:lblAlgn val="ctr"/>
        <c:lblOffset val="100"/>
        <c:noMultiLvlLbl val="0"/>
      </c:catAx>
      <c:valAx>
        <c:axId val="1885579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8855641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a:t>一般公共预算财政拨款支出</a:t>
            </a:r>
            <a:endParaRPr lang="zh-CN" altLang="en-US" sz="1200"/>
          </a:p>
        </c:rich>
      </c:tx>
      <c:layout/>
      <c:overlay val="0"/>
    </c:title>
    <c:autoTitleDeleted val="0"/>
    <c:plotArea>
      <c:layout/>
      <c:pieChart>
        <c:varyColors val="1"/>
        <c:ser>
          <c:idx val="0"/>
          <c:order val="0"/>
          <c:tx>
            <c:strRef>
              <c:f>Sheet1!$B$1</c:f>
              <c:strCache>
                <c:ptCount val="1"/>
                <c:pt idx="0">
                  <c:v>一般公共预算财政拨款支出</c:v>
                </c:pt>
              </c:strCache>
            </c:strRef>
          </c:tx>
          <c:explosion val="25"/>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科学技术支出</c:v>
                </c:pt>
                <c:pt idx="1">
                  <c:v>社会保障和就业（类）支出</c:v>
                </c:pt>
                <c:pt idx="2">
                  <c:v>住房保障支出</c:v>
                </c:pt>
              </c:strCache>
            </c:strRef>
          </c:cat>
          <c:val>
            <c:numRef>
              <c:f>Sheet1!$B$2:$B$4</c:f>
              <c:numCache>
                <c:formatCode>General</c:formatCode>
                <c:ptCount val="3"/>
                <c:pt idx="0">
                  <c:v>471.289999999999</c:v>
                </c:pt>
                <c:pt idx="1">
                  <c:v>118.57</c:v>
                </c:pt>
                <c:pt idx="2">
                  <c:v>33.06</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公务接待费</c:v>
                </c:pt>
                <c:pt idx="1">
                  <c:v>公车运行维护费</c:v>
                </c:pt>
              </c:strCache>
            </c:strRef>
          </c:cat>
          <c:val>
            <c:numRef>
              <c:f>Sheet1!$B$2:$B$3</c:f>
              <c:numCache>
                <c:formatCode>General</c:formatCode>
                <c:ptCount val="2"/>
                <c:pt idx="0">
                  <c:v>0.41</c:v>
                </c:pt>
                <c:pt idx="1">
                  <c:v>2.48</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60440-9E24-449E-99E1-4CDA88B9DC48}">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48</Pages>
  <Words>20248</Words>
  <Characters>21372</Characters>
  <Lines>1</Lines>
  <Paragraphs>1</Paragraphs>
  <TotalTime>0</TotalTime>
  <ScaleCrop>false</ScaleCrop>
  <LinksUpToDate>false</LinksUpToDate>
  <CharactersWithSpaces>21602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赵凤荣</cp:lastModifiedBy>
  <cp:lastPrinted>2022-08-31T02:26:00Z</cp:lastPrinted>
  <dcterms:modified xsi:type="dcterms:W3CDTF">2023-10-13T03:28:46Z</dcterms:modified>
  <dc:title>四川省***</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27D2BC3C37764DBAB8438D4CF51D0EE9</vt:lpwstr>
  </property>
</Properties>
</file>